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D8CA68" w14:textId="30A3877E" w:rsidR="001652A5" w:rsidRPr="00F11395" w:rsidRDefault="001652A5">
      <w:pPr>
        <w:rPr>
          <w:rFonts w:cstheme="minorHAnsi"/>
        </w:rPr>
      </w:pPr>
    </w:p>
    <w:p w14:paraId="031CC83E" w14:textId="26A49E8B" w:rsidR="002D1AF9" w:rsidRPr="00F11395" w:rsidRDefault="002D1AF9" w:rsidP="001652A5">
      <w:pPr>
        <w:rPr>
          <w:rFonts w:cstheme="minorHAnsi"/>
          <w:b/>
          <w:bCs/>
        </w:rPr>
      </w:pPr>
      <w:r w:rsidRPr="00F11395">
        <w:rPr>
          <w:rFonts w:cstheme="minorHAnsi"/>
          <w:b/>
          <w:bCs/>
        </w:rPr>
        <w:t xml:space="preserve">Global </w:t>
      </w:r>
      <w:r w:rsidR="00440A52" w:rsidRPr="00F11395">
        <w:rPr>
          <w:rFonts w:cstheme="minorHAnsi"/>
          <w:b/>
          <w:bCs/>
        </w:rPr>
        <w:t>Reports on Women in Engineering Compilation</w:t>
      </w:r>
    </w:p>
    <w:p w14:paraId="4EF06D0B" w14:textId="7F9E9DE8" w:rsidR="001652A5" w:rsidRPr="00F11395" w:rsidRDefault="001652A5" w:rsidP="001652A5">
      <w:pPr>
        <w:rPr>
          <w:rFonts w:cstheme="minorHAnsi"/>
          <w:b/>
          <w:bCs/>
        </w:rPr>
      </w:pPr>
      <w:r w:rsidRPr="00F11395">
        <w:rPr>
          <w:rFonts w:cstheme="minorHAnsi"/>
          <w:b/>
          <w:bCs/>
        </w:rPr>
        <w:t>References</w:t>
      </w:r>
    </w:p>
    <w:tbl>
      <w:tblPr>
        <w:tblStyle w:val="TableGrid"/>
        <w:tblW w:w="0" w:type="auto"/>
        <w:tblLayout w:type="fixed"/>
        <w:tblLook w:val="04A0" w:firstRow="1" w:lastRow="0" w:firstColumn="1" w:lastColumn="0" w:noHBand="0" w:noVBand="1"/>
      </w:tblPr>
      <w:tblGrid>
        <w:gridCol w:w="6658"/>
        <w:gridCol w:w="2358"/>
      </w:tblGrid>
      <w:tr w:rsidR="00E23BAC" w:rsidRPr="00F11395" w14:paraId="001F9CD6" w14:textId="77777777" w:rsidTr="002E1680">
        <w:tc>
          <w:tcPr>
            <w:tcW w:w="6658" w:type="dxa"/>
          </w:tcPr>
          <w:p w14:paraId="00A0061A" w14:textId="308E6716" w:rsidR="001652A5" w:rsidRPr="00F11395" w:rsidRDefault="001652A5" w:rsidP="001652A5">
            <w:pPr>
              <w:rPr>
                <w:rFonts w:cstheme="minorHAnsi"/>
                <w:b/>
                <w:bCs/>
              </w:rPr>
            </w:pPr>
            <w:r w:rsidRPr="00F11395">
              <w:rPr>
                <w:rFonts w:cstheme="minorHAnsi"/>
                <w:b/>
                <w:bCs/>
              </w:rPr>
              <w:t>Report</w:t>
            </w:r>
          </w:p>
        </w:tc>
        <w:tc>
          <w:tcPr>
            <w:tcW w:w="2358" w:type="dxa"/>
          </w:tcPr>
          <w:p w14:paraId="1616B4B7" w14:textId="10EF0A0C" w:rsidR="001652A5" w:rsidRPr="00F11395" w:rsidRDefault="001652A5" w:rsidP="001652A5">
            <w:pPr>
              <w:rPr>
                <w:rFonts w:cstheme="minorHAnsi"/>
                <w:b/>
                <w:bCs/>
              </w:rPr>
            </w:pPr>
            <w:r w:rsidRPr="00F11395">
              <w:rPr>
                <w:rFonts w:cstheme="minorHAnsi"/>
                <w:b/>
                <w:bCs/>
              </w:rPr>
              <w:t>Cover</w:t>
            </w:r>
          </w:p>
        </w:tc>
      </w:tr>
      <w:tr w:rsidR="00E23BAC" w:rsidRPr="00F11395" w14:paraId="1B01C746" w14:textId="77777777" w:rsidTr="002E1680">
        <w:tc>
          <w:tcPr>
            <w:tcW w:w="6658" w:type="dxa"/>
          </w:tcPr>
          <w:p w14:paraId="12FC9742" w14:textId="3F326DED" w:rsidR="001652A5" w:rsidRPr="00F11395" w:rsidRDefault="001652A5" w:rsidP="001652A5">
            <w:pPr>
              <w:rPr>
                <w:rFonts w:cstheme="minorHAnsi"/>
              </w:rPr>
            </w:pPr>
            <w:r w:rsidRPr="00F11395">
              <w:rPr>
                <w:rFonts w:cstheme="minorHAnsi"/>
              </w:rPr>
              <w:t xml:space="preserve">2020. The State of US Science &amp; Engineering </w:t>
            </w:r>
            <w:r w:rsidRPr="00F11395">
              <w:rPr>
                <w:rFonts w:cstheme="minorHAnsi"/>
              </w:rPr>
              <w:t>National Science Board. 20</w:t>
            </w:r>
            <w:r w:rsidRPr="00F11395">
              <w:rPr>
                <w:rFonts w:cstheme="minorHAnsi"/>
              </w:rPr>
              <w:t>20</w:t>
            </w:r>
            <w:r w:rsidRPr="00F11395">
              <w:rPr>
                <w:rFonts w:cstheme="minorHAnsi"/>
              </w:rPr>
              <w:t>. </w:t>
            </w:r>
            <w:r w:rsidRPr="00F11395">
              <w:rPr>
                <w:rStyle w:val="Emphasis"/>
                <w:rFonts w:cstheme="minorHAnsi"/>
                <w:i w:val="0"/>
                <w:iCs w:val="0"/>
              </w:rPr>
              <w:t xml:space="preserve">Science and Engineering Indicators </w:t>
            </w:r>
            <w:r w:rsidRPr="00F11395">
              <w:rPr>
                <w:rFonts w:cstheme="minorHAnsi"/>
              </w:rPr>
              <w:t>Reports for US.</w:t>
            </w:r>
          </w:p>
          <w:p w14:paraId="18A4E088" w14:textId="6DAE1742" w:rsidR="001652A5" w:rsidRPr="00F11395" w:rsidRDefault="001652A5" w:rsidP="001652A5">
            <w:pPr>
              <w:rPr>
                <w:rFonts w:cstheme="minorHAnsi"/>
                <w:b/>
                <w:bCs/>
              </w:rPr>
            </w:pPr>
            <w:hyperlink r:id="rId10" w:history="1">
              <w:r w:rsidRPr="00F11395">
                <w:rPr>
                  <w:rStyle w:val="Hyperlink"/>
                  <w:rFonts w:cstheme="minorHAnsi"/>
                </w:rPr>
                <w:t>https://ncses.nsf.gov/indicators/reports</w:t>
              </w:r>
            </w:hyperlink>
          </w:p>
          <w:p w14:paraId="2A1FD587" w14:textId="77777777" w:rsidR="001652A5" w:rsidRPr="00F11395" w:rsidRDefault="001652A5" w:rsidP="001652A5">
            <w:pPr>
              <w:rPr>
                <w:rFonts w:cstheme="minorHAnsi"/>
              </w:rPr>
            </w:pPr>
            <w:hyperlink r:id="rId11" w:history="1">
              <w:r w:rsidRPr="00F11395">
                <w:rPr>
                  <w:rStyle w:val="Hyperlink"/>
                  <w:rFonts w:cstheme="minorHAnsi"/>
                </w:rPr>
                <w:t>https://ncses.nsf.gov/indicators</w:t>
              </w:r>
            </w:hyperlink>
          </w:p>
          <w:p w14:paraId="57D0803D" w14:textId="736B1071" w:rsidR="001652A5" w:rsidRPr="00F11395" w:rsidRDefault="001652A5" w:rsidP="001652A5">
            <w:pPr>
              <w:rPr>
                <w:rFonts w:cstheme="minorHAnsi"/>
                <w:b/>
                <w:bCs/>
                <w:i/>
                <w:iCs/>
              </w:rPr>
            </w:pPr>
            <w:r w:rsidRPr="00F11395">
              <w:rPr>
                <w:rFonts w:cstheme="minorHAnsi"/>
                <w:i/>
                <w:iCs/>
                <w:color w:val="2B2A2A"/>
                <w:shd w:val="clear" w:color="auto" w:fill="FFFFFF"/>
              </w:rPr>
              <w:t xml:space="preserve">Indicators provides information on the state of the U.S. </w:t>
            </w:r>
            <w:r w:rsidR="00FE25BD" w:rsidRPr="00F11395">
              <w:rPr>
                <w:rFonts w:cstheme="minorHAnsi"/>
                <w:i/>
                <w:iCs/>
                <w:color w:val="2B2A2A"/>
                <w:shd w:val="clear" w:color="auto" w:fill="FFFFFF"/>
              </w:rPr>
              <w:t xml:space="preserve">(and global) </w:t>
            </w:r>
            <w:r w:rsidRPr="00F11395">
              <w:rPr>
                <w:rFonts w:cstheme="minorHAnsi"/>
                <w:i/>
                <w:iCs/>
                <w:color w:val="2B2A2A"/>
                <w:shd w:val="clear" w:color="auto" w:fill="FFFFFF"/>
              </w:rPr>
              <w:t>science and engineering (S&amp;E) enterprise over time and within a global context. Indicators is a factual and policy-neutral source of high-quality U.S. and international data; it does not offer policy options or make policy recommendations. The indicators presented in the report are quantitative representations relevant to the scope, quality, and vitality of the S&amp;E enterprise.</w:t>
            </w:r>
          </w:p>
        </w:tc>
        <w:tc>
          <w:tcPr>
            <w:tcW w:w="2358" w:type="dxa"/>
          </w:tcPr>
          <w:p w14:paraId="74D49916" w14:textId="1F26DB70" w:rsidR="001652A5" w:rsidRPr="00F11395" w:rsidRDefault="001652A5" w:rsidP="001652A5">
            <w:pPr>
              <w:rPr>
                <w:rFonts w:cstheme="minorHAnsi"/>
                <w:b/>
                <w:bCs/>
              </w:rPr>
            </w:pPr>
            <w:r w:rsidRPr="00F11395">
              <w:rPr>
                <w:rFonts w:cstheme="minorHAnsi"/>
                <w:b/>
                <w:bCs/>
              </w:rPr>
              <w:drawing>
                <wp:inline distT="0" distB="0" distL="0" distR="0" wp14:anchorId="30BD16EE" wp14:editId="0394112B">
                  <wp:extent cx="1279956" cy="1651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91892" cy="1666396"/>
                          </a:xfrm>
                          <a:prstGeom prst="rect">
                            <a:avLst/>
                          </a:prstGeom>
                        </pic:spPr>
                      </pic:pic>
                    </a:graphicData>
                  </a:graphic>
                </wp:inline>
              </w:drawing>
            </w:r>
          </w:p>
        </w:tc>
      </w:tr>
      <w:tr w:rsidR="00E23BAC" w:rsidRPr="00F11395" w14:paraId="427DB54F" w14:textId="77777777" w:rsidTr="002E1680">
        <w:tc>
          <w:tcPr>
            <w:tcW w:w="6658" w:type="dxa"/>
          </w:tcPr>
          <w:p w14:paraId="7FAA0511" w14:textId="77777777" w:rsidR="00A83137" w:rsidRPr="00F11395" w:rsidRDefault="00A83137" w:rsidP="001652A5">
            <w:pPr>
              <w:rPr>
                <w:rFonts w:cstheme="minorHAnsi"/>
                <w:color w:val="616966"/>
                <w:shd w:val="clear" w:color="auto" w:fill="FFFFFF"/>
              </w:rPr>
            </w:pPr>
            <w:r w:rsidRPr="00F11395">
              <w:rPr>
                <w:rFonts w:cstheme="minorHAnsi"/>
                <w:color w:val="616966"/>
                <w:shd w:val="clear" w:color="auto" w:fill="FFFFFF"/>
              </w:rPr>
              <w:t>2020</w:t>
            </w:r>
          </w:p>
          <w:p w14:paraId="0C837535" w14:textId="45999346" w:rsidR="00A83137" w:rsidRPr="00F11395" w:rsidRDefault="00A83137" w:rsidP="001652A5">
            <w:pPr>
              <w:rPr>
                <w:rFonts w:cstheme="minorHAnsi"/>
                <w:color w:val="616966"/>
                <w:shd w:val="clear" w:color="auto" w:fill="FFFFFF"/>
              </w:rPr>
            </w:pPr>
            <w:r w:rsidRPr="00F11395">
              <w:rPr>
                <w:rFonts w:cstheme="minorHAnsi"/>
                <w:color w:val="616966"/>
                <w:shd w:val="clear" w:color="auto" w:fill="FFFFFF"/>
              </w:rPr>
              <w:t>Global Engineering Capability Review, Royal Academy of Engineering (UK)</w:t>
            </w:r>
          </w:p>
          <w:p w14:paraId="2FB3D08D" w14:textId="75D6E54D" w:rsidR="00A83137" w:rsidRPr="00F11395" w:rsidRDefault="00A83137" w:rsidP="001652A5">
            <w:pPr>
              <w:rPr>
                <w:rFonts w:cstheme="minorHAnsi"/>
                <w:color w:val="616966"/>
                <w:shd w:val="clear" w:color="auto" w:fill="FFFFFF"/>
              </w:rPr>
            </w:pPr>
            <w:hyperlink r:id="rId13" w:history="1">
              <w:r w:rsidRPr="00F11395">
                <w:rPr>
                  <w:rStyle w:val="Hyperlink"/>
                  <w:rFonts w:cstheme="minorHAnsi"/>
                </w:rPr>
                <w:t>https://www.raeng.org.uk/publications/reports/global-engineering-capability-review</w:t>
              </w:r>
            </w:hyperlink>
          </w:p>
          <w:p w14:paraId="2E4679A9" w14:textId="7D038E9F" w:rsidR="001652A5" w:rsidRPr="00F11395" w:rsidRDefault="008060EB" w:rsidP="001652A5">
            <w:pPr>
              <w:rPr>
                <w:rFonts w:cstheme="minorHAnsi"/>
                <w:b/>
                <w:bCs/>
              </w:rPr>
            </w:pPr>
            <w:r w:rsidRPr="00F11395">
              <w:rPr>
                <w:rFonts w:cstheme="minorHAnsi"/>
                <w:color w:val="616966"/>
                <w:shd w:val="clear" w:color="auto" w:fill="FFFFFF"/>
              </w:rPr>
              <w:t>Prepared by the Economist Intelligence Unit, this report measures the abilities of 99 countries to conduct key engineering activities in a safe and innovative way.</w:t>
            </w:r>
          </w:p>
        </w:tc>
        <w:tc>
          <w:tcPr>
            <w:tcW w:w="2358" w:type="dxa"/>
          </w:tcPr>
          <w:p w14:paraId="60B608D5" w14:textId="6EAD0445" w:rsidR="001652A5" w:rsidRPr="00F11395" w:rsidRDefault="00A83137" w:rsidP="001652A5">
            <w:pPr>
              <w:rPr>
                <w:rFonts w:cstheme="minorHAnsi"/>
                <w:b/>
                <w:bCs/>
              </w:rPr>
            </w:pPr>
            <w:r w:rsidRPr="00F11395">
              <w:rPr>
                <w:rFonts w:cstheme="minorHAnsi"/>
                <w:b/>
                <w:bCs/>
              </w:rPr>
              <w:drawing>
                <wp:inline distT="0" distB="0" distL="0" distR="0" wp14:anchorId="7E89C678" wp14:editId="1D58AD86">
                  <wp:extent cx="1188865" cy="1695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05658" cy="1719399"/>
                          </a:xfrm>
                          <a:prstGeom prst="rect">
                            <a:avLst/>
                          </a:prstGeom>
                        </pic:spPr>
                      </pic:pic>
                    </a:graphicData>
                  </a:graphic>
                </wp:inline>
              </w:drawing>
            </w:r>
          </w:p>
        </w:tc>
      </w:tr>
      <w:tr w:rsidR="00F11395" w:rsidRPr="00F11395" w14:paraId="43744018" w14:textId="77777777" w:rsidTr="002E1680">
        <w:tc>
          <w:tcPr>
            <w:tcW w:w="6658" w:type="dxa"/>
          </w:tcPr>
          <w:p w14:paraId="7C2E9FE3" w14:textId="77777777" w:rsidR="002967D3" w:rsidRPr="00F11395" w:rsidRDefault="0002742B" w:rsidP="001652A5">
            <w:pPr>
              <w:rPr>
                <w:rFonts w:cstheme="minorHAnsi"/>
                <w:color w:val="616966"/>
                <w:shd w:val="clear" w:color="auto" w:fill="FFFFFF"/>
              </w:rPr>
            </w:pPr>
            <w:r w:rsidRPr="00F11395">
              <w:rPr>
                <w:rFonts w:cstheme="minorHAnsi"/>
                <w:color w:val="616966"/>
                <w:shd w:val="clear" w:color="auto" w:fill="FFFFFF"/>
              </w:rPr>
              <w:t>2020 Annual SWE (Society of Women Engineers) Report and Literature Review</w:t>
            </w:r>
          </w:p>
          <w:p w14:paraId="39B1526A" w14:textId="77777777" w:rsidR="0002742B" w:rsidRPr="00F11395" w:rsidRDefault="0002742B" w:rsidP="001652A5">
            <w:pPr>
              <w:rPr>
                <w:rFonts w:cstheme="minorHAnsi"/>
              </w:rPr>
            </w:pPr>
            <w:hyperlink r:id="rId15" w:history="1">
              <w:r w:rsidRPr="00F11395">
                <w:rPr>
                  <w:rStyle w:val="Hyperlink"/>
                  <w:rFonts w:cstheme="minorHAnsi"/>
                </w:rPr>
                <w:t>https://research.swe.org/wp-content/uploads/sites/2/2020/03/FINAL_SWESOW2020-links-1.pdf</w:t>
              </w:r>
            </w:hyperlink>
          </w:p>
          <w:p w14:paraId="51FF9EF2" w14:textId="12B3BE09" w:rsidR="00FE66F8" w:rsidRPr="00F11395" w:rsidRDefault="00FE66F8" w:rsidP="001652A5">
            <w:pPr>
              <w:rPr>
                <w:rFonts w:cstheme="minorHAnsi"/>
                <w:color w:val="616966"/>
                <w:shd w:val="clear" w:color="auto" w:fill="FFFFFF"/>
              </w:rPr>
            </w:pPr>
            <w:r w:rsidRPr="00F11395">
              <w:rPr>
                <w:rFonts w:cstheme="minorHAnsi"/>
              </w:rPr>
              <w:t>SWE’s assessment of the most significant research found in the past year’s social science literature on women engineers and women in STEM disciplines, plus recommendations for future analysis and study.</w:t>
            </w:r>
          </w:p>
        </w:tc>
        <w:tc>
          <w:tcPr>
            <w:tcW w:w="2358" w:type="dxa"/>
          </w:tcPr>
          <w:p w14:paraId="56818FBE" w14:textId="1D8A5EAE" w:rsidR="002967D3" w:rsidRPr="00F11395" w:rsidRDefault="002967D3" w:rsidP="001652A5">
            <w:pPr>
              <w:rPr>
                <w:rFonts w:cstheme="minorHAnsi"/>
                <w:b/>
                <w:bCs/>
              </w:rPr>
            </w:pPr>
            <w:r w:rsidRPr="00F11395">
              <w:rPr>
                <w:rFonts w:cstheme="minorHAnsi"/>
                <w:b/>
                <w:bCs/>
              </w:rPr>
              <w:drawing>
                <wp:inline distT="0" distB="0" distL="0" distR="0" wp14:anchorId="605EEC3C" wp14:editId="4F8B775B">
                  <wp:extent cx="1193041" cy="1708150"/>
                  <wp:effectExtent l="0" t="0" r="762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5786" cy="1726398"/>
                          </a:xfrm>
                          <a:prstGeom prst="rect">
                            <a:avLst/>
                          </a:prstGeom>
                        </pic:spPr>
                      </pic:pic>
                    </a:graphicData>
                  </a:graphic>
                </wp:inline>
              </w:drawing>
            </w:r>
          </w:p>
        </w:tc>
      </w:tr>
      <w:tr w:rsidR="00A6062E" w:rsidRPr="00F11395" w14:paraId="3312B908" w14:textId="77777777" w:rsidTr="002E1680">
        <w:tc>
          <w:tcPr>
            <w:tcW w:w="6658" w:type="dxa"/>
          </w:tcPr>
          <w:p w14:paraId="26FF0ED0" w14:textId="77777777" w:rsidR="00A6062E" w:rsidRDefault="00A6062E" w:rsidP="001652A5">
            <w:pPr>
              <w:rPr>
                <w:rFonts w:cstheme="minorHAnsi"/>
                <w:color w:val="616966"/>
                <w:shd w:val="clear" w:color="auto" w:fill="FFFFFF"/>
              </w:rPr>
            </w:pPr>
            <w:r>
              <w:rPr>
                <w:rFonts w:cstheme="minorHAnsi"/>
                <w:color w:val="616966"/>
                <w:shd w:val="clear" w:color="auto" w:fill="FFFFFF"/>
              </w:rPr>
              <w:t>2020</w:t>
            </w:r>
          </w:p>
          <w:p w14:paraId="3F538FBA" w14:textId="6327D12F" w:rsidR="00A6062E" w:rsidRDefault="00346472" w:rsidP="001652A5">
            <w:pPr>
              <w:rPr>
                <w:rFonts w:cstheme="minorHAnsi"/>
                <w:color w:val="616966"/>
                <w:shd w:val="clear" w:color="auto" w:fill="FFFFFF"/>
              </w:rPr>
            </w:pPr>
            <w:r>
              <w:rPr>
                <w:rFonts w:cstheme="minorHAnsi"/>
                <w:color w:val="616966"/>
                <w:shd w:val="clear" w:color="auto" w:fill="FFFFFF"/>
              </w:rPr>
              <w:t xml:space="preserve">Mind the 100 Year Gap. </w:t>
            </w:r>
            <w:r w:rsidR="00A6062E">
              <w:rPr>
                <w:rFonts w:cstheme="minorHAnsi"/>
                <w:color w:val="616966"/>
                <w:shd w:val="clear" w:color="auto" w:fill="FFFFFF"/>
              </w:rPr>
              <w:t>The Global Gender Gap Report 2020 published by the World Economic Forum</w:t>
            </w:r>
          </w:p>
          <w:p w14:paraId="6B00C771" w14:textId="77777777" w:rsidR="00A6062E" w:rsidRDefault="005F0E6C" w:rsidP="001652A5">
            <w:hyperlink r:id="rId17" w:history="1">
              <w:r>
                <w:rPr>
                  <w:rStyle w:val="Hyperlink"/>
                </w:rPr>
                <w:t>https://www.weforum.org/reports/gender-gap-2020-report-100-years-pay-equality</w:t>
              </w:r>
            </w:hyperlink>
          </w:p>
          <w:p w14:paraId="56C86250" w14:textId="77777777" w:rsidR="0091442B" w:rsidRPr="0091442B" w:rsidRDefault="0091442B" w:rsidP="0091442B">
            <w:pPr>
              <w:pStyle w:val="NormalWeb"/>
              <w:spacing w:before="0" w:beforeAutospacing="0"/>
              <w:rPr>
                <w:rFonts w:asciiTheme="minorHAnsi" w:hAnsiTheme="minorHAnsi" w:cstheme="minorHAnsi"/>
                <w:color w:val="141414"/>
                <w:sz w:val="22"/>
                <w:szCs w:val="22"/>
              </w:rPr>
            </w:pPr>
            <w:r w:rsidRPr="0091442B">
              <w:rPr>
                <w:rFonts w:asciiTheme="minorHAnsi" w:hAnsiTheme="minorHAnsi" w:cstheme="minorHAnsi"/>
                <w:color w:val="141414"/>
                <w:sz w:val="22"/>
                <w:szCs w:val="22"/>
              </w:rPr>
              <w:t xml:space="preserve">Gender parity has a fundamental bearing on </w:t>
            </w:r>
            <w:proofErr w:type="gramStart"/>
            <w:r w:rsidRPr="0091442B">
              <w:rPr>
                <w:rFonts w:asciiTheme="minorHAnsi" w:hAnsiTheme="minorHAnsi" w:cstheme="minorHAnsi"/>
                <w:color w:val="141414"/>
                <w:sz w:val="22"/>
                <w:szCs w:val="22"/>
              </w:rPr>
              <w:t>whether or not</w:t>
            </w:r>
            <w:proofErr w:type="gramEnd"/>
            <w:r w:rsidRPr="0091442B">
              <w:rPr>
                <w:rFonts w:asciiTheme="minorHAnsi" w:hAnsiTheme="minorHAnsi" w:cstheme="minorHAnsi"/>
                <w:color w:val="141414"/>
                <w:sz w:val="22"/>
                <w:szCs w:val="22"/>
              </w:rPr>
              <w:t xml:space="preserve"> economies and societies thrive. Developing and deploying one-half of the world’s available talent has a huge bearing on the growth, competitiveness and future-readiness of economies and businesses worldwide.</w:t>
            </w:r>
          </w:p>
          <w:p w14:paraId="607079DB" w14:textId="77777777" w:rsidR="0091442B" w:rsidRPr="0091442B" w:rsidRDefault="0091442B" w:rsidP="0091442B">
            <w:pPr>
              <w:pStyle w:val="NormalWeb"/>
              <w:rPr>
                <w:rFonts w:asciiTheme="minorHAnsi" w:hAnsiTheme="minorHAnsi" w:cstheme="minorHAnsi"/>
                <w:color w:val="141414"/>
                <w:sz w:val="22"/>
                <w:szCs w:val="22"/>
              </w:rPr>
            </w:pPr>
            <w:r w:rsidRPr="0091442B">
              <w:rPr>
                <w:rFonts w:asciiTheme="minorHAnsi" w:hAnsiTheme="minorHAnsi" w:cstheme="minorHAnsi"/>
                <w:color w:val="141414"/>
                <w:sz w:val="22"/>
                <w:szCs w:val="22"/>
              </w:rPr>
              <w:t xml:space="preserve">The index’s rankings offer an effective means to benchmark progress. They are designed to create global awareness of the challenges that </w:t>
            </w:r>
            <w:r w:rsidRPr="0091442B">
              <w:rPr>
                <w:rFonts w:asciiTheme="minorHAnsi" w:hAnsiTheme="minorHAnsi" w:cstheme="minorHAnsi"/>
                <w:color w:val="141414"/>
                <w:sz w:val="22"/>
                <w:szCs w:val="22"/>
              </w:rPr>
              <w:lastRenderedPageBreak/>
              <w:t>gender gaps pose, as well as the opportunities that emerge when action is taken to reduce them.</w:t>
            </w:r>
          </w:p>
          <w:p w14:paraId="3F920EFD" w14:textId="73DC71A5" w:rsidR="0091442B" w:rsidRPr="00F11395" w:rsidRDefault="0091442B" w:rsidP="001652A5">
            <w:pPr>
              <w:rPr>
                <w:rFonts w:cstheme="minorHAnsi"/>
                <w:color w:val="616966"/>
                <w:shd w:val="clear" w:color="auto" w:fill="FFFFFF"/>
              </w:rPr>
            </w:pPr>
          </w:p>
        </w:tc>
        <w:tc>
          <w:tcPr>
            <w:tcW w:w="2358" w:type="dxa"/>
          </w:tcPr>
          <w:p w14:paraId="6155C927" w14:textId="0370CAA6" w:rsidR="00A6062E" w:rsidRPr="00F11395" w:rsidRDefault="00A6062E" w:rsidP="001652A5">
            <w:pPr>
              <w:rPr>
                <w:rFonts w:cstheme="minorHAnsi"/>
                <w:b/>
                <w:bCs/>
              </w:rPr>
            </w:pPr>
            <w:r w:rsidRPr="00A6062E">
              <w:rPr>
                <w:rFonts w:cstheme="minorHAnsi"/>
                <w:b/>
                <w:bCs/>
              </w:rPr>
              <w:lastRenderedPageBreak/>
              <w:drawing>
                <wp:inline distT="0" distB="0" distL="0" distR="0" wp14:anchorId="191AF5C8" wp14:editId="3A53CB54">
                  <wp:extent cx="1360170" cy="193675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360170" cy="1936750"/>
                          </a:xfrm>
                          <a:prstGeom prst="rect">
                            <a:avLst/>
                          </a:prstGeom>
                        </pic:spPr>
                      </pic:pic>
                    </a:graphicData>
                  </a:graphic>
                </wp:inline>
              </w:drawing>
            </w:r>
          </w:p>
        </w:tc>
        <w:bookmarkStart w:id="0" w:name="_GoBack"/>
        <w:bookmarkEnd w:id="0"/>
      </w:tr>
      <w:tr w:rsidR="00E23BAC" w:rsidRPr="00F11395" w14:paraId="1B4F33AC" w14:textId="77777777" w:rsidTr="002E1680">
        <w:tc>
          <w:tcPr>
            <w:tcW w:w="6658" w:type="dxa"/>
          </w:tcPr>
          <w:p w14:paraId="64B27AC9" w14:textId="77777777" w:rsidR="008060EB" w:rsidRPr="00F11395" w:rsidRDefault="008060EB" w:rsidP="008060EB">
            <w:pPr>
              <w:numPr>
                <w:ilvl w:val="0"/>
                <w:numId w:val="1"/>
              </w:numPr>
              <w:shd w:val="clear" w:color="auto" w:fill="FFFFFF"/>
              <w:spacing w:before="100" w:beforeAutospacing="1" w:after="100" w:afterAutospacing="1"/>
              <w:ind w:left="0"/>
              <w:rPr>
                <w:rFonts w:cstheme="minorHAnsi"/>
              </w:rPr>
            </w:pPr>
            <w:r w:rsidRPr="00F11395">
              <w:rPr>
                <w:rFonts w:cstheme="minorHAnsi"/>
              </w:rPr>
              <w:t>2019</w:t>
            </w:r>
          </w:p>
          <w:p w14:paraId="2E1D58A6" w14:textId="77777777" w:rsidR="008060EB" w:rsidRPr="00F11395" w:rsidRDefault="008060EB" w:rsidP="008060EB">
            <w:pPr>
              <w:numPr>
                <w:ilvl w:val="0"/>
                <w:numId w:val="1"/>
              </w:numPr>
              <w:shd w:val="clear" w:color="auto" w:fill="FFFFFF"/>
              <w:spacing w:before="100" w:beforeAutospacing="1" w:after="100" w:afterAutospacing="1"/>
              <w:ind w:left="0"/>
              <w:rPr>
                <w:rFonts w:cstheme="minorHAnsi"/>
              </w:rPr>
            </w:pPr>
            <w:r w:rsidRPr="00F11395">
              <w:rPr>
                <w:rFonts w:cstheme="minorHAnsi"/>
              </w:rPr>
              <w:t xml:space="preserve">INCOSE Journal Insight (special edition on diversity in engineering) published October 2019 </w:t>
            </w:r>
            <w:hyperlink r:id="rId19" w:history="1">
              <w:r w:rsidRPr="00F11395">
                <w:rPr>
                  <w:rStyle w:val="Hyperlink"/>
                  <w:rFonts w:cstheme="minorHAnsi"/>
                  <w:color w:val="auto"/>
                </w:rPr>
                <w:t>https://onlinelibrary.wil</w:t>
              </w:r>
              <w:r w:rsidRPr="00F11395">
                <w:rPr>
                  <w:rStyle w:val="Hyperlink"/>
                  <w:rFonts w:cstheme="minorHAnsi"/>
                  <w:color w:val="auto"/>
                </w:rPr>
                <w:t>e</w:t>
              </w:r>
              <w:r w:rsidRPr="00F11395">
                <w:rPr>
                  <w:rStyle w:val="Hyperlink"/>
                  <w:rFonts w:cstheme="minorHAnsi"/>
                  <w:color w:val="auto"/>
                </w:rPr>
                <w:t>y.com/doi/full/10.1002/inst.12252</w:t>
              </w:r>
            </w:hyperlink>
          </w:p>
          <w:p w14:paraId="36DE93CC" w14:textId="77777777" w:rsidR="008060EB" w:rsidRPr="00F11395" w:rsidRDefault="008060EB" w:rsidP="008060EB">
            <w:pPr>
              <w:rPr>
                <w:rFonts w:cstheme="minorHAnsi"/>
                <w:b/>
                <w:bCs/>
              </w:rPr>
            </w:pPr>
            <w:r w:rsidRPr="00F11395">
              <w:rPr>
                <w:rFonts w:cstheme="minorHAnsi"/>
                <w:b/>
                <w:bCs/>
              </w:rPr>
              <w:t>Gender diversity in Systems Engineering report with global statistics.</w:t>
            </w:r>
          </w:p>
          <w:p w14:paraId="6BA1810C" w14:textId="13D8DB7E" w:rsidR="008060EB" w:rsidRPr="00F11395" w:rsidRDefault="008060EB" w:rsidP="008060EB">
            <w:pPr>
              <w:numPr>
                <w:ilvl w:val="0"/>
                <w:numId w:val="1"/>
              </w:numPr>
              <w:shd w:val="clear" w:color="auto" w:fill="FFFFFF"/>
              <w:spacing w:before="100" w:beforeAutospacing="1" w:after="100" w:afterAutospacing="1"/>
              <w:ind w:left="0"/>
              <w:rPr>
                <w:rFonts w:cstheme="minorHAnsi"/>
              </w:rPr>
            </w:pPr>
            <w:r w:rsidRPr="00F11395">
              <w:rPr>
                <w:rFonts w:cstheme="minorHAnsi"/>
                <w:color w:val="1C1D1E"/>
                <w:shd w:val="clear" w:color="auto" w:fill="FFFFFF"/>
              </w:rPr>
              <w:t>This inaugural special edition on ‘Diversity in Systems Engineering’ explores the role of the systems engineering community in embracing diversity, equity, and inclusion as key enablers in the systems approach. As master integrators, systems engineers are accountable for delivering optimal affordable system solutions to complex problems. To do so requires more than an understanding of technology. It requires an understanding of people and social systems ‐ culture and the impact of cultural barriers, the cost of gender inequity, the need for cognitive and idea diversity, and a path to achieve inclusivity by design to name just a few areas. These represent a sample of the topics addressed in this special edition, where authors share their past experiences and forward thinking on the role of diversity, equity, and inclusion in developing systems and global systems engineering leadership.</w:t>
            </w:r>
          </w:p>
        </w:tc>
        <w:tc>
          <w:tcPr>
            <w:tcW w:w="2358" w:type="dxa"/>
          </w:tcPr>
          <w:p w14:paraId="2DE09209" w14:textId="6F5C73CD" w:rsidR="008060EB" w:rsidRPr="00F11395" w:rsidRDefault="00E15BF1" w:rsidP="008060EB">
            <w:pPr>
              <w:rPr>
                <w:rFonts w:cstheme="minorHAnsi"/>
                <w:b/>
                <w:bCs/>
              </w:rPr>
            </w:pPr>
            <w:r w:rsidRPr="00F11395">
              <w:rPr>
                <w:rFonts w:cstheme="minorHAnsi"/>
                <w:b/>
                <w:bCs/>
              </w:rPr>
              <w:drawing>
                <wp:inline distT="0" distB="0" distL="0" distR="0" wp14:anchorId="48D360A8" wp14:editId="04E3C24D">
                  <wp:extent cx="1479550" cy="194406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490885" cy="1958954"/>
                          </a:xfrm>
                          <a:prstGeom prst="rect">
                            <a:avLst/>
                          </a:prstGeom>
                        </pic:spPr>
                      </pic:pic>
                    </a:graphicData>
                  </a:graphic>
                </wp:inline>
              </w:drawing>
            </w:r>
          </w:p>
        </w:tc>
      </w:tr>
      <w:tr w:rsidR="00FE34F8" w:rsidRPr="00F11395" w14:paraId="7FB5D20D" w14:textId="77777777" w:rsidTr="002E1680">
        <w:tc>
          <w:tcPr>
            <w:tcW w:w="6658" w:type="dxa"/>
          </w:tcPr>
          <w:p w14:paraId="27F86CE5" w14:textId="6260BD68" w:rsidR="00FE34F8" w:rsidRPr="00F11395" w:rsidRDefault="00FE34F8" w:rsidP="008060EB">
            <w:pPr>
              <w:numPr>
                <w:ilvl w:val="0"/>
                <w:numId w:val="1"/>
              </w:numPr>
              <w:shd w:val="clear" w:color="auto" w:fill="FFFFFF"/>
              <w:spacing w:before="100" w:beforeAutospacing="1" w:after="100" w:afterAutospacing="1"/>
              <w:ind w:left="0"/>
              <w:rPr>
                <w:rFonts w:cstheme="minorHAnsi"/>
              </w:rPr>
            </w:pPr>
            <w:r w:rsidRPr="00F11395">
              <w:rPr>
                <w:rFonts w:cstheme="minorHAnsi"/>
              </w:rPr>
              <w:t xml:space="preserve">2019 </w:t>
            </w:r>
            <w:r w:rsidRPr="00F11395">
              <w:rPr>
                <w:rFonts w:cstheme="minorHAnsi"/>
              </w:rPr>
              <w:br/>
              <w:t xml:space="preserve">UNESCO Institute of Statistics </w:t>
            </w:r>
            <w:r w:rsidR="002E1680" w:rsidRPr="00F11395">
              <w:rPr>
                <w:rFonts w:cstheme="minorHAnsi"/>
              </w:rPr>
              <w:t xml:space="preserve">(UIS) </w:t>
            </w:r>
            <w:r w:rsidRPr="00F11395">
              <w:rPr>
                <w:rFonts w:cstheme="minorHAnsi"/>
              </w:rPr>
              <w:t xml:space="preserve">Data </w:t>
            </w:r>
            <w:r w:rsidR="00E000CC" w:rsidRPr="00F11395">
              <w:rPr>
                <w:rFonts w:cstheme="minorHAnsi"/>
              </w:rPr>
              <w:t xml:space="preserve">Fact </w:t>
            </w:r>
            <w:r w:rsidRPr="00F11395">
              <w:rPr>
                <w:rFonts w:cstheme="minorHAnsi"/>
              </w:rPr>
              <w:t>sheets</w:t>
            </w:r>
            <w:r w:rsidR="00E000CC" w:rsidRPr="00F11395">
              <w:rPr>
                <w:rFonts w:cstheme="minorHAnsi"/>
              </w:rPr>
              <w:t xml:space="preserve"> </w:t>
            </w:r>
            <w:hyperlink r:id="rId21" w:history="1">
              <w:r w:rsidR="00E000CC" w:rsidRPr="00F11395">
                <w:rPr>
                  <w:rStyle w:val="Hyperlink"/>
                  <w:rFonts w:cstheme="minorHAnsi"/>
                </w:rPr>
                <w:t>http://uis.unesco.org/sites/default/files/documents/fs55-women-in-science-2019-en.pdf</w:t>
              </w:r>
            </w:hyperlink>
          </w:p>
          <w:p w14:paraId="344F1FBD" w14:textId="2E576F25" w:rsidR="002E1680" w:rsidRPr="00F11395" w:rsidRDefault="002E1680" w:rsidP="008060EB">
            <w:pPr>
              <w:numPr>
                <w:ilvl w:val="0"/>
                <w:numId w:val="1"/>
              </w:numPr>
              <w:shd w:val="clear" w:color="auto" w:fill="FFFFFF"/>
              <w:spacing w:before="100" w:beforeAutospacing="1" w:after="100" w:afterAutospacing="1"/>
              <w:ind w:left="0"/>
              <w:rPr>
                <w:rFonts w:cstheme="minorHAnsi"/>
              </w:rPr>
            </w:pPr>
            <w:hyperlink r:id="rId22" w:anchor="slideoutmenu" w:history="1">
              <w:r w:rsidRPr="00F11395">
                <w:rPr>
                  <w:rStyle w:val="Hyperlink"/>
                  <w:rFonts w:cstheme="minorHAnsi"/>
                </w:rPr>
                <w:t>http://uis.unesco.org/en#slideoutmenu</w:t>
              </w:r>
            </w:hyperlink>
          </w:p>
          <w:p w14:paraId="0417655A" w14:textId="77777777" w:rsidR="00DF5CC2" w:rsidRPr="00F11395" w:rsidRDefault="00DF5CC2" w:rsidP="008060EB">
            <w:pPr>
              <w:numPr>
                <w:ilvl w:val="0"/>
                <w:numId w:val="1"/>
              </w:numPr>
              <w:shd w:val="clear" w:color="auto" w:fill="FFFFFF"/>
              <w:spacing w:before="100" w:beforeAutospacing="1" w:after="100" w:afterAutospacing="1"/>
              <w:ind w:left="0"/>
              <w:rPr>
                <w:rFonts w:cstheme="minorHAnsi"/>
              </w:rPr>
            </w:pPr>
            <w:r w:rsidRPr="00F11395">
              <w:rPr>
                <w:rFonts w:cstheme="minorHAnsi"/>
              </w:rPr>
              <w:t>Also blog here</w:t>
            </w:r>
          </w:p>
          <w:p w14:paraId="05326187" w14:textId="4ED87C5E" w:rsidR="00DF5CC2" w:rsidRPr="00F11395" w:rsidRDefault="00E000CC" w:rsidP="008060EB">
            <w:pPr>
              <w:numPr>
                <w:ilvl w:val="0"/>
                <w:numId w:val="1"/>
              </w:numPr>
              <w:shd w:val="clear" w:color="auto" w:fill="FFFFFF"/>
              <w:spacing w:before="100" w:beforeAutospacing="1" w:after="100" w:afterAutospacing="1"/>
              <w:ind w:left="0"/>
              <w:rPr>
                <w:rFonts w:cstheme="minorHAnsi"/>
              </w:rPr>
            </w:pPr>
            <w:hyperlink r:id="rId23" w:history="1">
              <w:r w:rsidRPr="00F11395">
                <w:rPr>
                  <w:rStyle w:val="Hyperlink"/>
                  <w:rFonts w:cstheme="minorHAnsi"/>
                </w:rPr>
                <w:t>http://uis.unesco.org/en/blog/where-are-all-women-science-and-research</w:t>
              </w:r>
            </w:hyperlink>
          </w:p>
        </w:tc>
        <w:tc>
          <w:tcPr>
            <w:tcW w:w="2358" w:type="dxa"/>
          </w:tcPr>
          <w:p w14:paraId="78D43302" w14:textId="75E9B96F" w:rsidR="00FE34F8" w:rsidRPr="00F11395" w:rsidRDefault="00FE34F8" w:rsidP="008060EB">
            <w:pPr>
              <w:rPr>
                <w:rFonts w:cstheme="minorHAnsi"/>
                <w:b/>
                <w:bCs/>
              </w:rPr>
            </w:pPr>
            <w:r w:rsidRPr="00F11395">
              <w:rPr>
                <w:rFonts w:cstheme="minorHAnsi"/>
                <w:b/>
                <w:bCs/>
              </w:rPr>
              <w:drawing>
                <wp:inline distT="0" distB="0" distL="0" distR="0" wp14:anchorId="227BC911" wp14:editId="5BD3C2BA">
                  <wp:extent cx="1181100" cy="1523063"/>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209856" cy="1560144"/>
                          </a:xfrm>
                          <a:prstGeom prst="rect">
                            <a:avLst/>
                          </a:prstGeom>
                        </pic:spPr>
                      </pic:pic>
                    </a:graphicData>
                  </a:graphic>
                </wp:inline>
              </w:drawing>
            </w:r>
          </w:p>
        </w:tc>
      </w:tr>
      <w:tr w:rsidR="00FE34F8" w:rsidRPr="00F11395" w14:paraId="5F4F0023" w14:textId="77777777" w:rsidTr="002E1680">
        <w:tc>
          <w:tcPr>
            <w:tcW w:w="6658" w:type="dxa"/>
          </w:tcPr>
          <w:p w14:paraId="4C8995DA" w14:textId="44B43AE0" w:rsidR="00E15BF1" w:rsidRDefault="00E15BF1" w:rsidP="008060EB">
            <w:pPr>
              <w:rPr>
                <w:rFonts w:cstheme="minorHAnsi"/>
                <w:b/>
                <w:bCs/>
              </w:rPr>
            </w:pPr>
            <w:r w:rsidRPr="00F11395">
              <w:rPr>
                <w:rFonts w:cstheme="minorHAnsi"/>
                <w:b/>
                <w:bCs/>
              </w:rPr>
              <w:t>2019</w:t>
            </w:r>
          </w:p>
          <w:p w14:paraId="5143798B" w14:textId="331A93A7" w:rsidR="00594DB1" w:rsidRPr="00F11395" w:rsidRDefault="00594DB1" w:rsidP="008060EB">
            <w:pPr>
              <w:rPr>
                <w:rFonts w:cstheme="minorHAnsi"/>
                <w:b/>
                <w:bCs/>
              </w:rPr>
            </w:pPr>
            <w:r>
              <w:rPr>
                <w:rFonts w:cstheme="minorHAnsi"/>
                <w:b/>
                <w:bCs/>
              </w:rPr>
              <w:t>IESF Data on engineering in France</w:t>
            </w:r>
          </w:p>
          <w:p w14:paraId="1B3A0223" w14:textId="77777777" w:rsidR="00E15BF1" w:rsidRPr="00F11395" w:rsidRDefault="00E15BF1" w:rsidP="008060EB">
            <w:pPr>
              <w:rPr>
                <w:rFonts w:cstheme="minorHAnsi"/>
              </w:rPr>
            </w:pPr>
            <w:hyperlink r:id="rId25" w:history="1">
              <w:r w:rsidRPr="00F11395">
                <w:rPr>
                  <w:rStyle w:val="Hyperlink"/>
                  <w:rFonts w:cstheme="minorHAnsi"/>
                </w:rPr>
                <w:t>https://www.iesf.fr/offres/doc_inline_src/752/IESF-ENQUETE2019-Resume.pdf</w:t>
              </w:r>
            </w:hyperlink>
          </w:p>
          <w:p w14:paraId="2479FC78" w14:textId="65298ECB" w:rsidR="008C2A8D" w:rsidRDefault="008C2A8D" w:rsidP="008060EB">
            <w:pPr>
              <w:rPr>
                <w:rFonts w:cstheme="minorHAnsi"/>
              </w:rPr>
            </w:pPr>
            <w:r w:rsidRPr="00F11395">
              <w:rPr>
                <w:rFonts w:cstheme="minorHAnsi"/>
              </w:rPr>
              <w:t>French compilation state of engineering report showing disaggregated data for women engineers</w:t>
            </w:r>
            <w:r w:rsidR="00DE157A" w:rsidRPr="00F11395">
              <w:rPr>
                <w:rFonts w:cstheme="minorHAnsi"/>
              </w:rPr>
              <w:t xml:space="preserve"> in France only</w:t>
            </w:r>
            <w:r w:rsidRPr="00F11395">
              <w:rPr>
                <w:rFonts w:cstheme="minorHAnsi"/>
              </w:rPr>
              <w:t>.</w:t>
            </w:r>
          </w:p>
          <w:p w14:paraId="0657E57B" w14:textId="5594752B" w:rsidR="00B8772D" w:rsidRDefault="00B8772D" w:rsidP="008060EB">
            <w:pPr>
              <w:rPr>
                <w:rFonts w:cstheme="minorHAnsi"/>
              </w:rPr>
            </w:pPr>
            <w:r>
              <w:rPr>
                <w:rFonts w:cstheme="minorHAnsi"/>
              </w:rPr>
              <w:t>Full report here</w:t>
            </w:r>
          </w:p>
          <w:p w14:paraId="1799CE7B" w14:textId="769FA27D" w:rsidR="00B8772D" w:rsidRPr="00F11395" w:rsidRDefault="00B8772D" w:rsidP="008060EB">
            <w:pPr>
              <w:rPr>
                <w:rFonts w:cstheme="minorHAnsi"/>
                <w:b/>
                <w:bCs/>
              </w:rPr>
            </w:pPr>
            <w:hyperlink r:id="rId26" w:history="1">
              <w:r>
                <w:rPr>
                  <w:rStyle w:val="Hyperlink"/>
                </w:rPr>
                <w:t>https://www.iesf.fr/offres/doc_inline_src/752/ENQUETE_IESF_2017_Version_associations.pdf</w:t>
              </w:r>
            </w:hyperlink>
          </w:p>
        </w:tc>
        <w:tc>
          <w:tcPr>
            <w:tcW w:w="2358" w:type="dxa"/>
          </w:tcPr>
          <w:p w14:paraId="02931310" w14:textId="0FBD4F0A" w:rsidR="00E15BF1" w:rsidRPr="00F11395" w:rsidRDefault="00E15BF1" w:rsidP="008060EB">
            <w:pPr>
              <w:rPr>
                <w:rFonts w:cstheme="minorHAnsi"/>
                <w:b/>
                <w:bCs/>
              </w:rPr>
            </w:pPr>
            <w:r w:rsidRPr="00F11395">
              <w:rPr>
                <w:rFonts w:cstheme="minorHAnsi"/>
                <w:b/>
                <w:bCs/>
              </w:rPr>
              <w:drawing>
                <wp:inline distT="0" distB="0" distL="0" distR="0" wp14:anchorId="6C8DE069" wp14:editId="083325CF">
                  <wp:extent cx="1309276" cy="1860550"/>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328082" cy="1887274"/>
                          </a:xfrm>
                          <a:prstGeom prst="rect">
                            <a:avLst/>
                          </a:prstGeom>
                        </pic:spPr>
                      </pic:pic>
                    </a:graphicData>
                  </a:graphic>
                </wp:inline>
              </w:drawing>
            </w:r>
          </w:p>
        </w:tc>
      </w:tr>
      <w:tr w:rsidR="007C3EA1" w:rsidRPr="00F11395" w14:paraId="045693E5" w14:textId="77777777" w:rsidTr="002E1680">
        <w:tc>
          <w:tcPr>
            <w:tcW w:w="6658" w:type="dxa"/>
          </w:tcPr>
          <w:p w14:paraId="038A47AA" w14:textId="77777777" w:rsidR="007C3EA1" w:rsidRPr="00F11395" w:rsidRDefault="007C3EA1" w:rsidP="008060EB">
            <w:pPr>
              <w:rPr>
                <w:rFonts w:cstheme="minorHAnsi"/>
                <w:b/>
                <w:bCs/>
              </w:rPr>
            </w:pPr>
            <w:r w:rsidRPr="00F11395">
              <w:rPr>
                <w:rFonts w:cstheme="minorHAnsi"/>
                <w:b/>
                <w:bCs/>
              </w:rPr>
              <w:lastRenderedPageBreak/>
              <w:t xml:space="preserve">2019 </w:t>
            </w:r>
          </w:p>
          <w:p w14:paraId="22369A27" w14:textId="43B58159" w:rsidR="004C04F7" w:rsidRPr="00F11395" w:rsidRDefault="007C3EA1" w:rsidP="008060EB">
            <w:pPr>
              <w:rPr>
                <w:rFonts w:cstheme="minorHAnsi"/>
              </w:rPr>
            </w:pPr>
            <w:r w:rsidRPr="00F11395">
              <w:rPr>
                <w:rFonts w:cstheme="minorHAnsi"/>
                <w:b/>
                <w:bCs/>
              </w:rPr>
              <w:t>OECD Data</w:t>
            </w:r>
            <w:r w:rsidR="00B87B12" w:rsidRPr="00F11395">
              <w:rPr>
                <w:rFonts w:cstheme="minorHAnsi"/>
                <w:b/>
                <w:bCs/>
              </w:rPr>
              <w:t xml:space="preserve"> </w:t>
            </w:r>
            <w:hyperlink r:id="rId28" w:history="1">
              <w:r w:rsidR="00B87B12" w:rsidRPr="00F11395">
                <w:rPr>
                  <w:rStyle w:val="Hyperlink"/>
                  <w:rFonts w:cstheme="minorHAnsi"/>
                </w:rPr>
                <w:t>https://www.oecd.org/gender/data/why-dont-more-girls-choose-stem-careers.htm</w:t>
              </w:r>
            </w:hyperlink>
          </w:p>
          <w:p w14:paraId="252FFE6A" w14:textId="77777777" w:rsidR="00B87B12" w:rsidRPr="00F11395" w:rsidRDefault="00B87B12" w:rsidP="008060EB">
            <w:pPr>
              <w:rPr>
                <w:rFonts w:cstheme="minorHAnsi"/>
                <w:b/>
                <w:bCs/>
              </w:rPr>
            </w:pPr>
          </w:p>
          <w:p w14:paraId="6BF41044" w14:textId="5F74E308" w:rsidR="004C04F7" w:rsidRPr="00F11395" w:rsidRDefault="00897128" w:rsidP="008060EB">
            <w:pPr>
              <w:rPr>
                <w:rFonts w:cstheme="minorHAnsi"/>
              </w:rPr>
            </w:pPr>
            <w:r w:rsidRPr="00F11395">
              <w:rPr>
                <w:rFonts w:cstheme="minorHAnsi"/>
                <w:b/>
                <w:bCs/>
              </w:rPr>
              <w:t xml:space="preserve"> </w:t>
            </w:r>
            <w:hyperlink r:id="rId29" w:history="1">
              <w:r w:rsidRPr="00F11395">
                <w:rPr>
                  <w:rStyle w:val="Hyperlink"/>
                  <w:rFonts w:cstheme="minorHAnsi"/>
                </w:rPr>
                <w:t>https://www.oecd-ilibrary.org/docserver/02bd2b68-en.pdf?expires=1586874412&amp;id=id&amp;accname=guest&amp;checksum=1E7612EC7C9663D6B63FA84297DBC546</w:t>
              </w:r>
            </w:hyperlink>
          </w:p>
          <w:p w14:paraId="2EC56DF2" w14:textId="2D562150" w:rsidR="007C3EA1" w:rsidRPr="00F11395" w:rsidRDefault="007C3EA1" w:rsidP="007C3EA1">
            <w:pPr>
              <w:numPr>
                <w:ilvl w:val="0"/>
                <w:numId w:val="2"/>
              </w:numPr>
              <w:shd w:val="clear" w:color="auto" w:fill="F9F9F9"/>
              <w:spacing w:before="100" w:beforeAutospacing="1" w:after="100" w:afterAutospacing="1"/>
              <w:ind w:left="360" w:right="360"/>
              <w:rPr>
                <w:rFonts w:cstheme="minorHAnsi"/>
                <w:color w:val="333333"/>
              </w:rPr>
            </w:pPr>
            <w:r w:rsidRPr="00F11395">
              <w:rPr>
                <w:rFonts w:cstheme="minorHAnsi"/>
                <w:color w:val="333333"/>
              </w:rPr>
              <w:t>« Why don’t more girls choose to pursue a science career? », PISA in Focus, n° 93,  OECD Publishing, Paris, h</w:t>
            </w:r>
            <w:hyperlink r:id="rId30" w:tgtFrame="_blank" w:history="1">
              <w:r w:rsidRPr="00F11395">
                <w:rPr>
                  <w:rStyle w:val="Hyperlink"/>
                  <w:rFonts w:cstheme="minorHAnsi"/>
                  <w:color w:val="428BCA"/>
                  <w:u w:val="none"/>
                </w:rPr>
                <w:t>ttps://doi.org/10.1787/02bd2b68-en</w:t>
              </w:r>
            </w:hyperlink>
            <w:r w:rsidR="004C04F7" w:rsidRPr="00F11395">
              <w:rPr>
                <w:rFonts w:cstheme="minorHAnsi"/>
                <w:color w:val="333333"/>
              </w:rPr>
              <w:t xml:space="preserve"> </w:t>
            </w:r>
            <w:r w:rsidRPr="00F11395">
              <w:rPr>
                <w:rFonts w:cstheme="minorHAnsi"/>
                <w:color w:val="333333"/>
              </w:rPr>
              <w:t> </w:t>
            </w:r>
          </w:p>
          <w:p w14:paraId="67179748" w14:textId="77777777" w:rsidR="007C3EA1" w:rsidRPr="00F11395" w:rsidRDefault="007C3EA1" w:rsidP="007C3EA1">
            <w:pPr>
              <w:numPr>
                <w:ilvl w:val="0"/>
                <w:numId w:val="2"/>
              </w:numPr>
              <w:shd w:val="clear" w:color="auto" w:fill="F9F9F9"/>
              <w:spacing w:before="100" w:beforeAutospacing="1" w:after="100" w:afterAutospacing="1"/>
              <w:ind w:left="360" w:right="360"/>
              <w:rPr>
                <w:rFonts w:cstheme="minorHAnsi"/>
                <w:color w:val="333333"/>
              </w:rPr>
            </w:pPr>
            <w:proofErr w:type="spellStart"/>
            <w:r w:rsidRPr="00F11395">
              <w:rPr>
                <w:rFonts w:cstheme="minorHAnsi"/>
                <w:color w:val="333333"/>
              </w:rPr>
              <w:t>Stoet</w:t>
            </w:r>
            <w:proofErr w:type="spellEnd"/>
            <w:r w:rsidRPr="00F11395">
              <w:rPr>
                <w:rFonts w:cstheme="minorHAnsi"/>
                <w:color w:val="333333"/>
              </w:rPr>
              <w:t>, G. and D.C. Geary (2018), “The Gender-Equality Paradox in Science, Technology, Engineering, and Mathematics Education”, </w:t>
            </w:r>
            <w:r w:rsidRPr="00F11395">
              <w:rPr>
                <w:rStyle w:val="Emphasis"/>
                <w:rFonts w:cstheme="minorHAnsi"/>
                <w:color w:val="333333"/>
              </w:rPr>
              <w:t>Psychological Science</w:t>
            </w:r>
            <w:r w:rsidRPr="00F11395">
              <w:rPr>
                <w:rFonts w:cstheme="minorHAnsi"/>
                <w:color w:val="333333"/>
              </w:rPr>
              <w:t>, 29/4, 581–593. </w:t>
            </w:r>
            <w:hyperlink r:id="rId31" w:history="1">
              <w:r w:rsidRPr="00F11395">
                <w:rPr>
                  <w:rStyle w:val="Hyperlink"/>
                  <w:rFonts w:cstheme="minorHAnsi"/>
                  <w:color w:val="428BCA"/>
                  <w:u w:val="none"/>
                </w:rPr>
                <w:t>https://doi.org/10.1177/0956797617741719</w:t>
              </w:r>
            </w:hyperlink>
            <w:r w:rsidRPr="00F11395">
              <w:rPr>
                <w:rFonts w:cstheme="minorHAnsi"/>
                <w:color w:val="333333"/>
              </w:rPr>
              <w:t> </w:t>
            </w:r>
          </w:p>
          <w:p w14:paraId="0F13921B" w14:textId="77777777" w:rsidR="007C3EA1" w:rsidRPr="00F11395" w:rsidRDefault="007C3EA1" w:rsidP="007C3EA1">
            <w:pPr>
              <w:numPr>
                <w:ilvl w:val="0"/>
                <w:numId w:val="2"/>
              </w:numPr>
              <w:shd w:val="clear" w:color="auto" w:fill="F9F9F9"/>
              <w:spacing w:before="100" w:beforeAutospacing="1" w:after="100" w:afterAutospacing="1"/>
              <w:ind w:left="360" w:right="360"/>
              <w:rPr>
                <w:rFonts w:cstheme="minorHAnsi"/>
                <w:color w:val="333333"/>
              </w:rPr>
            </w:pPr>
            <w:r w:rsidRPr="00F11395">
              <w:rPr>
                <w:rFonts w:cstheme="minorHAnsi"/>
                <w:color w:val="333333"/>
              </w:rPr>
              <w:t>OECD (2018), "Indicator B5 Who is expected to graduate from tertiary education?", in </w:t>
            </w:r>
            <w:r w:rsidRPr="00F11395">
              <w:rPr>
                <w:rStyle w:val="Emphasis"/>
                <w:rFonts w:cstheme="minorHAnsi"/>
                <w:color w:val="333333"/>
              </w:rPr>
              <w:t>Education at a Glance 2018: OECD Indicators</w:t>
            </w:r>
            <w:r w:rsidRPr="00F11395">
              <w:rPr>
                <w:rFonts w:cstheme="minorHAnsi"/>
                <w:color w:val="333333"/>
              </w:rPr>
              <w:t>, OECD Publishing, Paris, </w:t>
            </w:r>
            <w:hyperlink r:id="rId32" w:history="1">
              <w:r w:rsidRPr="00F11395">
                <w:rPr>
                  <w:rStyle w:val="Hyperlink"/>
                  <w:rFonts w:cstheme="minorHAnsi"/>
                  <w:color w:val="428BCA"/>
                  <w:u w:val="none"/>
                </w:rPr>
                <w:t>https://doi.org/10.1787/eag-2018-18-en</w:t>
              </w:r>
            </w:hyperlink>
          </w:p>
          <w:p w14:paraId="4DC5ABA0" w14:textId="52DA2919" w:rsidR="007C3EA1" w:rsidRPr="00F11395" w:rsidRDefault="007C3EA1" w:rsidP="008060EB">
            <w:pPr>
              <w:rPr>
                <w:rFonts w:cstheme="minorHAnsi"/>
                <w:b/>
                <w:bCs/>
              </w:rPr>
            </w:pPr>
          </w:p>
        </w:tc>
        <w:tc>
          <w:tcPr>
            <w:tcW w:w="2358" w:type="dxa"/>
          </w:tcPr>
          <w:p w14:paraId="3355F9A2" w14:textId="36AA6D09" w:rsidR="007C3EA1" w:rsidRPr="00F11395" w:rsidRDefault="00F628ED" w:rsidP="008060EB">
            <w:pPr>
              <w:rPr>
                <w:rFonts w:cstheme="minorHAnsi"/>
                <w:b/>
                <w:bCs/>
              </w:rPr>
            </w:pPr>
            <w:r w:rsidRPr="00F11395">
              <w:rPr>
                <w:rFonts w:cstheme="minorHAnsi"/>
                <w:b/>
                <w:bCs/>
              </w:rPr>
              <w:drawing>
                <wp:inline distT="0" distB="0" distL="0" distR="0" wp14:anchorId="4325C045" wp14:editId="1A4DF448">
                  <wp:extent cx="1360170" cy="18465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360170" cy="1846580"/>
                          </a:xfrm>
                          <a:prstGeom prst="rect">
                            <a:avLst/>
                          </a:prstGeom>
                        </pic:spPr>
                      </pic:pic>
                    </a:graphicData>
                  </a:graphic>
                </wp:inline>
              </w:drawing>
            </w:r>
          </w:p>
        </w:tc>
      </w:tr>
      <w:tr w:rsidR="00E23BAC" w:rsidRPr="00F11395" w14:paraId="54FBD399" w14:textId="77777777" w:rsidTr="002E1680">
        <w:tc>
          <w:tcPr>
            <w:tcW w:w="6658" w:type="dxa"/>
          </w:tcPr>
          <w:p w14:paraId="307B1032" w14:textId="77777777" w:rsidR="008060EB" w:rsidRPr="00F11395" w:rsidRDefault="00E15BF1" w:rsidP="008060EB">
            <w:pPr>
              <w:rPr>
                <w:rFonts w:cstheme="minorHAnsi"/>
                <w:b/>
                <w:bCs/>
              </w:rPr>
            </w:pPr>
            <w:r w:rsidRPr="00F11395">
              <w:rPr>
                <w:rFonts w:cstheme="minorHAnsi"/>
                <w:b/>
                <w:bCs/>
              </w:rPr>
              <w:t>2018</w:t>
            </w:r>
          </w:p>
          <w:p w14:paraId="55426B04" w14:textId="5A46ABEF" w:rsidR="00E15BF1" w:rsidRPr="00F11395" w:rsidRDefault="00E15BF1" w:rsidP="008060EB">
            <w:pPr>
              <w:rPr>
                <w:rFonts w:cstheme="minorHAnsi"/>
                <w:b/>
                <w:bCs/>
              </w:rPr>
            </w:pPr>
            <w:r w:rsidRPr="00F11395">
              <w:rPr>
                <w:rFonts w:cstheme="minorHAnsi"/>
                <w:b/>
                <w:bCs/>
              </w:rPr>
              <w:t>She Figures Report, European Commission</w:t>
            </w:r>
          </w:p>
          <w:p w14:paraId="643EDE44" w14:textId="6E6B4452" w:rsidR="00E15BF1" w:rsidRPr="00F11395" w:rsidRDefault="00E15BF1" w:rsidP="008060EB">
            <w:pPr>
              <w:rPr>
                <w:rFonts w:cstheme="minorHAnsi"/>
                <w:b/>
                <w:bCs/>
              </w:rPr>
            </w:pPr>
            <w:hyperlink r:id="rId34" w:history="1">
              <w:r w:rsidRPr="00F11395">
                <w:rPr>
                  <w:rStyle w:val="Hyperlink"/>
                  <w:rFonts w:cstheme="minorHAnsi"/>
                </w:rPr>
                <w:t>https://op.europa.eu/en/publication-detail/-/publication/9540ffa1-4478-11e9-a8ed-01aa75ed71a1/language-en</w:t>
              </w:r>
            </w:hyperlink>
          </w:p>
          <w:p w14:paraId="6F41C4D6" w14:textId="2428F035" w:rsidR="00E15BF1" w:rsidRPr="00F11395" w:rsidRDefault="00E15BF1" w:rsidP="00E15BF1">
            <w:pPr>
              <w:shd w:val="clear" w:color="auto" w:fill="FFFFFF"/>
              <w:rPr>
                <w:rFonts w:eastAsia="Times New Roman" w:cstheme="minorHAnsi"/>
                <w:color w:val="666666"/>
                <w:lang w:eastAsia="en-GB"/>
              </w:rPr>
            </w:pPr>
            <w:r w:rsidRPr="00E15BF1">
              <w:rPr>
                <w:rFonts w:eastAsia="Times New Roman" w:cstheme="minorHAnsi"/>
                <w:color w:val="666666"/>
                <w:lang w:eastAsia="en-GB"/>
              </w:rPr>
              <w:t>The ‘She figures’ publication provides a range of indicators on gender equality in research and innovation at pan-European level. It aims to give an overview of the gender equality situation, using a wide range of indicators to examine the impact and effectiveness of policies implemented in this area.</w:t>
            </w:r>
          </w:p>
          <w:p w14:paraId="5193E2D1" w14:textId="63156120" w:rsidR="00E15BF1" w:rsidRPr="00E15BF1" w:rsidRDefault="00E15BF1" w:rsidP="00E15BF1">
            <w:pPr>
              <w:shd w:val="clear" w:color="auto" w:fill="FFFFFF"/>
              <w:rPr>
                <w:rFonts w:eastAsia="Times New Roman" w:cstheme="minorHAnsi"/>
                <w:color w:val="666666"/>
                <w:lang w:eastAsia="en-GB"/>
              </w:rPr>
            </w:pPr>
            <w:r w:rsidRPr="00F11395">
              <w:rPr>
                <w:rFonts w:eastAsia="Times New Roman" w:cstheme="minorHAnsi"/>
                <w:color w:val="666666"/>
                <w:lang w:eastAsia="en-GB"/>
              </w:rPr>
              <w:t xml:space="preserve">Also </w:t>
            </w:r>
            <w:hyperlink r:id="rId35" w:history="1">
              <w:r w:rsidRPr="00F11395">
                <w:rPr>
                  <w:rStyle w:val="Hyperlink"/>
                  <w:rFonts w:cstheme="minorHAnsi"/>
                </w:rPr>
                <w:t>file:///C:/Users/dawnb/Downloads/KI0418554ENN.en.pdf</w:t>
              </w:r>
            </w:hyperlink>
            <w:r w:rsidRPr="00F11395">
              <w:rPr>
                <w:rFonts w:cstheme="minorHAnsi"/>
              </w:rPr>
              <w:t xml:space="preserve"> (published 2019)</w:t>
            </w:r>
          </w:p>
          <w:p w14:paraId="487DFD23" w14:textId="7D2D7DDC" w:rsidR="00E15BF1" w:rsidRPr="00F11395" w:rsidRDefault="00E15BF1" w:rsidP="008060EB">
            <w:pPr>
              <w:rPr>
                <w:rFonts w:cstheme="minorHAnsi"/>
                <w:b/>
                <w:bCs/>
              </w:rPr>
            </w:pPr>
          </w:p>
        </w:tc>
        <w:tc>
          <w:tcPr>
            <w:tcW w:w="2358" w:type="dxa"/>
          </w:tcPr>
          <w:p w14:paraId="246515A3" w14:textId="3E9C76A7" w:rsidR="008060EB" w:rsidRPr="00F11395" w:rsidRDefault="00E15BF1" w:rsidP="008060EB">
            <w:pPr>
              <w:rPr>
                <w:rFonts w:cstheme="minorHAnsi"/>
                <w:b/>
                <w:bCs/>
              </w:rPr>
            </w:pPr>
            <w:r w:rsidRPr="00F11395">
              <w:rPr>
                <w:rFonts w:cstheme="minorHAnsi"/>
                <w:b/>
                <w:bCs/>
              </w:rPr>
              <w:drawing>
                <wp:inline distT="0" distB="0" distL="0" distR="0" wp14:anchorId="1380BB23" wp14:editId="14E73F08">
                  <wp:extent cx="1363428" cy="19685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81887" cy="1995151"/>
                          </a:xfrm>
                          <a:prstGeom prst="rect">
                            <a:avLst/>
                          </a:prstGeom>
                        </pic:spPr>
                      </pic:pic>
                    </a:graphicData>
                  </a:graphic>
                </wp:inline>
              </w:drawing>
            </w:r>
          </w:p>
        </w:tc>
      </w:tr>
      <w:tr w:rsidR="00E23BAC" w:rsidRPr="00F11395" w14:paraId="338C2C85" w14:textId="77777777" w:rsidTr="002E1680">
        <w:tc>
          <w:tcPr>
            <w:tcW w:w="6658" w:type="dxa"/>
          </w:tcPr>
          <w:p w14:paraId="126C6BFE" w14:textId="77777777" w:rsidR="008060EB" w:rsidRPr="00F11395" w:rsidRDefault="00441475" w:rsidP="008060EB">
            <w:pPr>
              <w:rPr>
                <w:rFonts w:cstheme="minorHAnsi"/>
                <w:b/>
                <w:bCs/>
              </w:rPr>
            </w:pPr>
            <w:r w:rsidRPr="00F11395">
              <w:rPr>
                <w:rFonts w:cstheme="minorHAnsi"/>
                <w:b/>
                <w:bCs/>
              </w:rPr>
              <w:t>2018</w:t>
            </w:r>
          </w:p>
          <w:p w14:paraId="53534DFD" w14:textId="4722E656" w:rsidR="00441475" w:rsidRPr="00F11395" w:rsidRDefault="00441475" w:rsidP="008060EB">
            <w:pPr>
              <w:rPr>
                <w:rFonts w:cstheme="minorHAnsi"/>
                <w:b/>
                <w:bCs/>
              </w:rPr>
            </w:pPr>
            <w:r w:rsidRPr="00F11395">
              <w:rPr>
                <w:rFonts w:cstheme="minorHAnsi"/>
                <w:b/>
                <w:bCs/>
              </w:rPr>
              <w:t>Internat</w:t>
            </w:r>
            <w:r w:rsidR="001267D9" w:rsidRPr="00F11395">
              <w:rPr>
                <w:rFonts w:cstheme="minorHAnsi"/>
                <w:b/>
                <w:bCs/>
              </w:rPr>
              <w:t xml:space="preserve">ional Labour </w:t>
            </w:r>
            <w:r w:rsidR="00C40FDA" w:rsidRPr="00F11395">
              <w:rPr>
                <w:rFonts w:cstheme="minorHAnsi"/>
                <w:b/>
                <w:bCs/>
              </w:rPr>
              <w:t>Organisation</w:t>
            </w:r>
            <w:r w:rsidR="00DA047A" w:rsidRPr="00F11395">
              <w:rPr>
                <w:rFonts w:cstheme="minorHAnsi"/>
                <w:b/>
                <w:bCs/>
              </w:rPr>
              <w:t xml:space="preserve"> </w:t>
            </w:r>
            <w:r w:rsidR="00FC169D">
              <w:rPr>
                <w:rFonts w:cstheme="minorHAnsi"/>
                <w:b/>
                <w:bCs/>
              </w:rPr>
              <w:t xml:space="preserve">Data </w:t>
            </w:r>
            <w:hyperlink r:id="rId37" w:history="1">
              <w:r w:rsidR="00FC169D" w:rsidRPr="00A3296E">
                <w:rPr>
                  <w:rStyle w:val="Hyperlink"/>
                  <w:rFonts w:cstheme="minorHAnsi"/>
                </w:rPr>
                <w:t>https://www.ilo.org/asia/publications/WCMS_645601/lang--en/index.htm</w:t>
              </w:r>
            </w:hyperlink>
          </w:p>
          <w:p w14:paraId="0279A613" w14:textId="77777777" w:rsidR="00C40FDA" w:rsidRPr="00F11395" w:rsidRDefault="00C40FDA" w:rsidP="00C40FDA">
            <w:pPr>
              <w:pStyle w:val="Heading1"/>
              <w:shd w:val="clear" w:color="auto" w:fill="FFFFFF"/>
              <w:spacing w:before="450" w:beforeAutospacing="0" w:after="0" w:afterAutospacing="0"/>
              <w:rPr>
                <w:rFonts w:asciiTheme="minorHAnsi" w:hAnsiTheme="minorHAnsi" w:cstheme="minorHAnsi"/>
                <w:b w:val="0"/>
                <w:bCs w:val="0"/>
                <w:color w:val="4B4B4B"/>
                <w:sz w:val="22"/>
                <w:szCs w:val="22"/>
                <w:lang w:val="en"/>
              </w:rPr>
            </w:pPr>
            <w:r w:rsidRPr="00F11395">
              <w:rPr>
                <w:rFonts w:asciiTheme="minorHAnsi" w:hAnsiTheme="minorHAnsi" w:cstheme="minorHAnsi"/>
                <w:b w:val="0"/>
                <w:bCs w:val="0"/>
                <w:color w:val="4B4B4B"/>
                <w:sz w:val="22"/>
                <w:szCs w:val="22"/>
                <w:lang w:val="en"/>
              </w:rPr>
              <w:t>Game changers: Women and the future of work in Asia and the Pacific</w:t>
            </w:r>
          </w:p>
          <w:p w14:paraId="0FE4E5FF" w14:textId="77777777" w:rsidR="00C40FDA" w:rsidRPr="00F11395" w:rsidRDefault="00C40FDA" w:rsidP="00C40FDA">
            <w:pPr>
              <w:pStyle w:val="intro"/>
              <w:shd w:val="clear" w:color="auto" w:fill="FFFFFF"/>
              <w:spacing w:before="300" w:beforeAutospacing="0" w:after="203" w:afterAutospacing="0"/>
              <w:rPr>
                <w:rFonts w:asciiTheme="minorHAnsi" w:hAnsiTheme="minorHAnsi" w:cstheme="minorHAnsi"/>
                <w:color w:val="4B4B4B"/>
                <w:sz w:val="22"/>
                <w:szCs w:val="22"/>
                <w:lang w:val="en"/>
              </w:rPr>
            </w:pPr>
            <w:r w:rsidRPr="00F11395">
              <w:rPr>
                <w:rFonts w:asciiTheme="minorHAnsi" w:hAnsiTheme="minorHAnsi" w:cstheme="minorHAnsi"/>
                <w:color w:val="4B4B4B"/>
                <w:sz w:val="22"/>
                <w:szCs w:val="22"/>
                <w:lang w:val="en"/>
              </w:rPr>
              <w:t>The report examines the situation of women in the region and analyses progress and obstacles in terms of gender equality in the world of work.</w:t>
            </w:r>
          </w:p>
          <w:p w14:paraId="5BF17610" w14:textId="161589C7" w:rsidR="00C40FDA" w:rsidRPr="00F11395" w:rsidRDefault="00C40FDA" w:rsidP="008060EB">
            <w:pPr>
              <w:rPr>
                <w:rFonts w:cstheme="minorHAnsi"/>
                <w:b/>
                <w:bCs/>
              </w:rPr>
            </w:pPr>
          </w:p>
        </w:tc>
        <w:tc>
          <w:tcPr>
            <w:tcW w:w="2358" w:type="dxa"/>
          </w:tcPr>
          <w:p w14:paraId="594B29B7" w14:textId="1694B8A3" w:rsidR="008060EB" w:rsidRPr="00F11395" w:rsidRDefault="00441475" w:rsidP="008060EB">
            <w:pPr>
              <w:rPr>
                <w:rFonts w:cstheme="minorHAnsi"/>
                <w:b/>
                <w:bCs/>
              </w:rPr>
            </w:pPr>
            <w:r w:rsidRPr="00F11395">
              <w:rPr>
                <w:rFonts w:cstheme="minorHAnsi"/>
                <w:b/>
                <w:bCs/>
              </w:rPr>
              <w:drawing>
                <wp:inline distT="0" distB="0" distL="0" distR="0" wp14:anchorId="627C0EA5" wp14:editId="757749DD">
                  <wp:extent cx="1276350" cy="18141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281543" cy="1821564"/>
                          </a:xfrm>
                          <a:prstGeom prst="rect">
                            <a:avLst/>
                          </a:prstGeom>
                        </pic:spPr>
                      </pic:pic>
                    </a:graphicData>
                  </a:graphic>
                </wp:inline>
              </w:drawing>
            </w:r>
          </w:p>
        </w:tc>
      </w:tr>
      <w:tr w:rsidR="005D2C1F" w:rsidRPr="00F11395" w14:paraId="7AEDB021" w14:textId="77777777" w:rsidTr="002E1680">
        <w:tc>
          <w:tcPr>
            <w:tcW w:w="6658" w:type="dxa"/>
          </w:tcPr>
          <w:p w14:paraId="2C14A184" w14:textId="77777777" w:rsidR="005D2C1F" w:rsidRDefault="005D2C1F" w:rsidP="008060EB">
            <w:pPr>
              <w:rPr>
                <w:rFonts w:cstheme="minorHAnsi"/>
                <w:b/>
                <w:bCs/>
              </w:rPr>
            </w:pPr>
            <w:r>
              <w:rPr>
                <w:rFonts w:cstheme="minorHAnsi"/>
                <w:b/>
                <w:bCs/>
              </w:rPr>
              <w:t>2018</w:t>
            </w:r>
          </w:p>
          <w:p w14:paraId="6484E873" w14:textId="00C40D49" w:rsidR="005D2C1F" w:rsidRDefault="005D2C1F" w:rsidP="008060EB">
            <w:pPr>
              <w:rPr>
                <w:rFonts w:cstheme="minorHAnsi"/>
                <w:b/>
                <w:bCs/>
              </w:rPr>
            </w:pPr>
            <w:r>
              <w:rPr>
                <w:rFonts w:cstheme="minorHAnsi"/>
                <w:b/>
                <w:bCs/>
              </w:rPr>
              <w:t>Eurostat database</w:t>
            </w:r>
          </w:p>
          <w:p w14:paraId="7C3E6B74" w14:textId="342AF56B" w:rsidR="00C45AC9" w:rsidRDefault="00C45AC9" w:rsidP="008060EB">
            <w:pPr>
              <w:rPr>
                <w:rFonts w:cstheme="minorHAnsi"/>
                <w:b/>
                <w:bCs/>
              </w:rPr>
            </w:pPr>
            <w:r>
              <w:rPr>
                <w:rFonts w:cstheme="minorHAnsi"/>
                <w:b/>
                <w:bCs/>
              </w:rPr>
              <w:t>Professions still split along gender lines</w:t>
            </w:r>
          </w:p>
          <w:p w14:paraId="50CDF3D2" w14:textId="77777777" w:rsidR="005D2C1F" w:rsidRDefault="00BF3B75" w:rsidP="008060EB">
            <w:hyperlink r:id="rId39" w:history="1">
              <w:r>
                <w:rPr>
                  <w:rStyle w:val="Hyperlink"/>
                </w:rPr>
                <w:t>https://ec.europa.eu/eurostat/en/web/products-eurostat-news/-/EDN-20180307-1</w:t>
              </w:r>
            </w:hyperlink>
          </w:p>
          <w:p w14:paraId="5BE21C98" w14:textId="217A5A56" w:rsidR="004C6ADB" w:rsidRDefault="004C6ADB" w:rsidP="008060EB">
            <w:r>
              <w:t xml:space="preserve">Female students enrolled in </w:t>
            </w:r>
            <w:r w:rsidR="0005071B">
              <w:t>engineering study data (2012 is latest data available)</w:t>
            </w:r>
          </w:p>
          <w:p w14:paraId="2A413845" w14:textId="0B45B450" w:rsidR="004C6ADB" w:rsidRPr="00F11395" w:rsidRDefault="004C6ADB" w:rsidP="008060EB">
            <w:pPr>
              <w:rPr>
                <w:rFonts w:cstheme="minorHAnsi"/>
                <w:b/>
                <w:bCs/>
              </w:rPr>
            </w:pPr>
            <w:hyperlink r:id="rId40" w:history="1">
              <w:r>
                <w:rPr>
                  <w:rStyle w:val="Hyperlink"/>
                </w:rPr>
                <w:t>https://appsso.eurostat.ec.europa.eu/nui/submitViewTableAction.do</w:t>
              </w:r>
            </w:hyperlink>
          </w:p>
        </w:tc>
        <w:tc>
          <w:tcPr>
            <w:tcW w:w="2358" w:type="dxa"/>
          </w:tcPr>
          <w:p w14:paraId="23186BD6" w14:textId="2B8083D3" w:rsidR="005D2C1F" w:rsidRPr="00F11395" w:rsidRDefault="00C45AC9" w:rsidP="008060EB">
            <w:pPr>
              <w:rPr>
                <w:rFonts w:cstheme="minorHAnsi"/>
                <w:b/>
                <w:bCs/>
              </w:rPr>
            </w:pPr>
            <w:r w:rsidRPr="00C45AC9">
              <w:rPr>
                <w:rFonts w:cstheme="minorHAnsi"/>
                <w:b/>
                <w:bCs/>
              </w:rPr>
              <w:lastRenderedPageBreak/>
              <w:drawing>
                <wp:inline distT="0" distB="0" distL="0" distR="0" wp14:anchorId="7C4DECF2" wp14:editId="54880210">
                  <wp:extent cx="1360170" cy="681355"/>
                  <wp:effectExtent l="0" t="0" r="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360170" cy="681355"/>
                          </a:xfrm>
                          <a:prstGeom prst="rect">
                            <a:avLst/>
                          </a:prstGeom>
                        </pic:spPr>
                      </pic:pic>
                    </a:graphicData>
                  </a:graphic>
                </wp:inline>
              </w:drawing>
            </w:r>
          </w:p>
        </w:tc>
      </w:tr>
      <w:tr w:rsidR="00E23BAC" w:rsidRPr="00F11395" w14:paraId="1B1D2773" w14:textId="77777777" w:rsidTr="002E1680">
        <w:tc>
          <w:tcPr>
            <w:tcW w:w="6658" w:type="dxa"/>
          </w:tcPr>
          <w:p w14:paraId="517BF64D" w14:textId="77777777"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rPr>
              <w:t>2017</w:t>
            </w:r>
          </w:p>
          <w:p w14:paraId="0EF4AA56" w14:textId="5BE09333"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rPr>
              <w:t>OECD (2017), </w:t>
            </w:r>
            <w:r w:rsidRPr="00F11395">
              <w:rPr>
                <w:rStyle w:val="Emphasis"/>
                <w:rFonts w:cstheme="minorHAnsi"/>
              </w:rPr>
              <w:t xml:space="preserve">Education </w:t>
            </w:r>
            <w:proofErr w:type="gramStart"/>
            <w:r w:rsidRPr="00F11395">
              <w:rPr>
                <w:rStyle w:val="Emphasis"/>
                <w:rFonts w:cstheme="minorHAnsi"/>
              </w:rPr>
              <w:t>at a Glance</w:t>
            </w:r>
            <w:proofErr w:type="gramEnd"/>
            <w:r w:rsidRPr="00F11395">
              <w:rPr>
                <w:rStyle w:val="Emphasis"/>
                <w:rFonts w:cstheme="minorHAnsi"/>
              </w:rPr>
              <w:t xml:space="preserve"> 2017: OECD Indicators,</w:t>
            </w:r>
            <w:r w:rsidRPr="00F11395">
              <w:rPr>
                <w:rFonts w:cstheme="minorHAnsi"/>
              </w:rPr>
              <w:t> OECD Publishing, Paris. </w:t>
            </w:r>
            <w:hyperlink r:id="rId42" w:history="1">
              <w:r w:rsidRPr="00F11395">
                <w:rPr>
                  <w:rStyle w:val="Hyperlink"/>
                  <w:rFonts w:cstheme="minorHAnsi"/>
                  <w:color w:val="auto"/>
                </w:rPr>
                <w:t>http://dx.doi.org/10.1787/eag-2017-en</w:t>
              </w:r>
            </w:hyperlink>
          </w:p>
          <w:p w14:paraId="2394B865" w14:textId="5B375AAA" w:rsidR="00A83137" w:rsidRPr="00F11395" w:rsidRDefault="00A83137" w:rsidP="00A83137">
            <w:pPr>
              <w:rPr>
                <w:rFonts w:cstheme="minorHAnsi"/>
                <w:b/>
                <w:bCs/>
              </w:rPr>
            </w:pPr>
            <w:r w:rsidRPr="00F11395">
              <w:rPr>
                <w:rStyle w:val="Emphasis"/>
                <w:rFonts w:cstheme="minorHAnsi"/>
                <w:color w:val="7F7F7F"/>
                <w:shd w:val="clear" w:color="auto" w:fill="F6F6F6"/>
              </w:rPr>
              <w:t xml:space="preserve">Education </w:t>
            </w:r>
            <w:proofErr w:type="gramStart"/>
            <w:r w:rsidRPr="00F11395">
              <w:rPr>
                <w:rStyle w:val="Emphasis"/>
                <w:rFonts w:cstheme="minorHAnsi"/>
                <w:color w:val="7F7F7F"/>
                <w:shd w:val="clear" w:color="auto" w:fill="F6F6F6"/>
              </w:rPr>
              <w:t>at a Glance</w:t>
            </w:r>
            <w:proofErr w:type="gramEnd"/>
            <w:r w:rsidRPr="00F11395">
              <w:rPr>
                <w:rStyle w:val="Emphasis"/>
                <w:rFonts w:cstheme="minorHAnsi"/>
                <w:color w:val="7F7F7F"/>
                <w:shd w:val="clear" w:color="auto" w:fill="F6F6F6"/>
              </w:rPr>
              <w:t>: OECD Indicators </w:t>
            </w:r>
            <w:r w:rsidRPr="00F11395">
              <w:rPr>
                <w:rFonts w:cstheme="minorHAnsi"/>
                <w:color w:val="7F7F7F"/>
                <w:shd w:val="clear" w:color="auto" w:fill="F6F6F6"/>
              </w:rPr>
              <w:t>is the authoritative source for information on the state of education around the world. With more than 125 charts and 145 tables included in the publication and much more data available on the educational database, </w:t>
            </w:r>
            <w:r w:rsidRPr="00F11395">
              <w:rPr>
                <w:rStyle w:val="Emphasis"/>
                <w:rFonts w:cstheme="minorHAnsi"/>
                <w:color w:val="7F7F7F"/>
                <w:shd w:val="clear" w:color="auto" w:fill="F6F6F6"/>
              </w:rPr>
              <w:t>Education at a Glance 2017 </w:t>
            </w:r>
            <w:r w:rsidRPr="00F11395">
              <w:rPr>
                <w:rFonts w:cstheme="minorHAnsi"/>
                <w:color w:val="7F7F7F"/>
                <w:shd w:val="clear" w:color="auto" w:fill="F6F6F6"/>
              </w:rPr>
              <w:t>provides key information on the output of educational institutions; the impact of learning across countries; the financial and human resources invested in education; access, participation and progression in education; and the learning environment and organisation of schools.</w:t>
            </w:r>
          </w:p>
        </w:tc>
        <w:tc>
          <w:tcPr>
            <w:tcW w:w="2358" w:type="dxa"/>
          </w:tcPr>
          <w:p w14:paraId="1B72B883" w14:textId="759E1926" w:rsidR="00A83137" w:rsidRPr="00F11395" w:rsidRDefault="00A83137" w:rsidP="00A83137">
            <w:pPr>
              <w:rPr>
                <w:rFonts w:cstheme="minorHAnsi"/>
                <w:b/>
                <w:bCs/>
              </w:rPr>
            </w:pPr>
            <w:r w:rsidRPr="00F11395">
              <w:rPr>
                <w:rFonts w:cstheme="minorHAnsi"/>
                <w:b/>
                <w:bCs/>
              </w:rPr>
              <w:drawing>
                <wp:inline distT="0" distB="0" distL="0" distR="0" wp14:anchorId="4D37CE80" wp14:editId="70F9DC8A">
                  <wp:extent cx="1568531" cy="20638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568531" cy="2063856"/>
                          </a:xfrm>
                          <a:prstGeom prst="rect">
                            <a:avLst/>
                          </a:prstGeom>
                        </pic:spPr>
                      </pic:pic>
                    </a:graphicData>
                  </a:graphic>
                </wp:inline>
              </w:drawing>
            </w:r>
          </w:p>
        </w:tc>
      </w:tr>
      <w:tr w:rsidR="00E23BAC" w:rsidRPr="00F11395" w14:paraId="229BE5BA" w14:textId="77777777" w:rsidTr="002E1680">
        <w:tc>
          <w:tcPr>
            <w:tcW w:w="6658" w:type="dxa"/>
          </w:tcPr>
          <w:p w14:paraId="05707156" w14:textId="77777777"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rPr>
              <w:t>2017</w:t>
            </w:r>
          </w:p>
          <w:p w14:paraId="0A562081" w14:textId="77AB65E1"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rPr>
              <w:t xml:space="preserve">UNESCO. 2017. </w:t>
            </w:r>
            <w:r w:rsidRPr="00F11395">
              <w:rPr>
                <w:rFonts w:cstheme="minorHAnsi"/>
                <w:i/>
              </w:rPr>
              <w:t>Cracking the code: Girls’ and women’s education in science technology, engineering and mathematics (STEM).</w:t>
            </w:r>
            <w:r w:rsidRPr="00F11395">
              <w:rPr>
                <w:rFonts w:cstheme="minorHAnsi"/>
              </w:rPr>
              <w:t xml:space="preserve"> Paris: UNESCO Publishing. Retrieved from: </w:t>
            </w:r>
            <w:hyperlink r:id="rId44">
              <w:r w:rsidRPr="00F11395">
                <w:rPr>
                  <w:rFonts w:cstheme="minorHAnsi"/>
                  <w:u w:val="single"/>
                </w:rPr>
                <w:t>https://unesdoc.unesco.org/ark:/48223/pf0000253479</w:t>
              </w:r>
            </w:hyperlink>
            <w:r w:rsidRPr="00F11395">
              <w:rPr>
                <w:rFonts w:cstheme="minorHAnsi"/>
              </w:rPr>
              <w:t>.</w:t>
            </w:r>
          </w:p>
          <w:p w14:paraId="2167DDAF" w14:textId="77777777" w:rsidR="00A83137" w:rsidRPr="008060EB" w:rsidRDefault="00A83137" w:rsidP="00A83137">
            <w:pPr>
              <w:shd w:val="clear" w:color="auto" w:fill="FFFFFF"/>
              <w:rPr>
                <w:rFonts w:eastAsia="Times New Roman" w:cstheme="minorHAnsi"/>
                <w:lang w:eastAsia="en-GB"/>
              </w:rPr>
            </w:pPr>
            <w:r w:rsidRPr="008060EB">
              <w:rPr>
                <w:rFonts w:eastAsia="Times New Roman" w:cstheme="minorHAnsi"/>
                <w:lang w:eastAsia="en-GB"/>
              </w:rPr>
              <w:t>Girls' and women's education in science, technology, engineering and mathematics (STEM)</w:t>
            </w:r>
          </w:p>
          <w:p w14:paraId="487F208C" w14:textId="77777777" w:rsidR="00A83137" w:rsidRPr="00F11395" w:rsidRDefault="00A83137" w:rsidP="00A83137">
            <w:pPr>
              <w:rPr>
                <w:rFonts w:cstheme="minorHAnsi"/>
                <w:b/>
                <w:bCs/>
              </w:rPr>
            </w:pPr>
          </w:p>
        </w:tc>
        <w:tc>
          <w:tcPr>
            <w:tcW w:w="2358" w:type="dxa"/>
          </w:tcPr>
          <w:p w14:paraId="5010766C" w14:textId="31EBB65F" w:rsidR="00A83137" w:rsidRPr="00F11395" w:rsidRDefault="00A83137" w:rsidP="00A83137">
            <w:pPr>
              <w:rPr>
                <w:rFonts w:cstheme="minorHAnsi"/>
                <w:b/>
                <w:bCs/>
              </w:rPr>
            </w:pPr>
            <w:r w:rsidRPr="00F11395">
              <w:rPr>
                <w:rFonts w:cstheme="minorHAnsi"/>
                <w:b/>
                <w:bCs/>
              </w:rPr>
              <w:drawing>
                <wp:inline distT="0" distB="0" distL="0" distR="0" wp14:anchorId="3AC019AD" wp14:editId="76A5E067">
                  <wp:extent cx="1339919" cy="17018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339919" cy="1701887"/>
                          </a:xfrm>
                          <a:prstGeom prst="rect">
                            <a:avLst/>
                          </a:prstGeom>
                        </pic:spPr>
                      </pic:pic>
                    </a:graphicData>
                  </a:graphic>
                </wp:inline>
              </w:drawing>
            </w:r>
          </w:p>
        </w:tc>
      </w:tr>
      <w:tr w:rsidR="00AD4E47" w:rsidRPr="00F11395" w14:paraId="2D98F6A2" w14:textId="77777777" w:rsidTr="002E1680">
        <w:tc>
          <w:tcPr>
            <w:tcW w:w="6658" w:type="dxa"/>
          </w:tcPr>
          <w:p w14:paraId="1444A519" w14:textId="77777777" w:rsidR="00AD4E47" w:rsidRDefault="00AD4E47" w:rsidP="00A83137">
            <w:pPr>
              <w:numPr>
                <w:ilvl w:val="0"/>
                <w:numId w:val="1"/>
              </w:numPr>
              <w:shd w:val="clear" w:color="auto" w:fill="FFFFFF"/>
              <w:spacing w:before="100" w:beforeAutospacing="1" w:after="100" w:afterAutospacing="1"/>
              <w:ind w:left="0"/>
              <w:rPr>
                <w:rFonts w:cstheme="minorHAnsi"/>
              </w:rPr>
            </w:pPr>
            <w:r>
              <w:rPr>
                <w:rFonts w:cstheme="minorHAnsi"/>
              </w:rPr>
              <w:t>2017</w:t>
            </w:r>
          </w:p>
          <w:p w14:paraId="26A4BE5F" w14:textId="3C485950" w:rsidR="00AD4E47" w:rsidRPr="00F11395" w:rsidRDefault="00AD4E47" w:rsidP="00A83137">
            <w:pPr>
              <w:numPr>
                <w:ilvl w:val="0"/>
                <w:numId w:val="1"/>
              </w:numPr>
              <w:shd w:val="clear" w:color="auto" w:fill="FFFFFF"/>
              <w:spacing w:before="100" w:beforeAutospacing="1" w:after="100" w:afterAutospacing="1"/>
              <w:ind w:left="0"/>
              <w:rPr>
                <w:rFonts w:cstheme="minorHAnsi"/>
              </w:rPr>
            </w:pPr>
            <w:r w:rsidRPr="00EE692C">
              <w:rPr>
                <w:rFonts w:cstheme="minorHAnsi"/>
                <w:i/>
              </w:rPr>
              <w:t>African catalyst project: Statistical data for women in science and engineering. A pilot project of Nigeria, Rwanda and Malawi</w:t>
            </w:r>
            <w:r w:rsidRPr="00EE692C">
              <w:rPr>
                <w:rFonts w:cstheme="minorHAnsi"/>
              </w:rPr>
              <w:t xml:space="preserve">. Paris: World Federation of Engineering Organizations. </w:t>
            </w:r>
            <w:proofErr w:type="spellStart"/>
            <w:r w:rsidR="008814B7" w:rsidRPr="00EE692C">
              <w:rPr>
                <w:rFonts w:cstheme="minorHAnsi"/>
              </w:rPr>
              <w:t>Agberagba</w:t>
            </w:r>
            <w:proofErr w:type="spellEnd"/>
            <w:r w:rsidR="008814B7" w:rsidRPr="00EE692C">
              <w:rPr>
                <w:rFonts w:cstheme="minorHAnsi"/>
              </w:rPr>
              <w:t xml:space="preserve">, V. 2017. </w:t>
            </w:r>
            <w:r w:rsidRPr="00EE692C">
              <w:rPr>
                <w:rFonts w:cstheme="minorHAnsi"/>
              </w:rPr>
              <w:t xml:space="preserve">Retrieved from: </w:t>
            </w:r>
            <w:hyperlink r:id="rId46" w:history="1">
              <w:r w:rsidRPr="00EE692C">
                <w:rPr>
                  <w:rStyle w:val="Hyperlink"/>
                  <w:rFonts w:cstheme="minorHAnsi"/>
                </w:rPr>
                <w:t>https://afbe.org.uk/docs/African%20catalyst%20Project%20%20-%20final%20%20%20submission%20(1).pdf</w:t>
              </w:r>
            </w:hyperlink>
          </w:p>
        </w:tc>
        <w:tc>
          <w:tcPr>
            <w:tcW w:w="2358" w:type="dxa"/>
          </w:tcPr>
          <w:p w14:paraId="1927F970" w14:textId="274EC817" w:rsidR="00AD4E47" w:rsidRPr="00F11395" w:rsidRDefault="003F0425" w:rsidP="00A83137">
            <w:pPr>
              <w:rPr>
                <w:rFonts w:cstheme="minorHAnsi"/>
                <w:b/>
                <w:bCs/>
              </w:rPr>
            </w:pPr>
            <w:r w:rsidRPr="003F0425">
              <w:rPr>
                <w:rFonts w:cstheme="minorHAnsi"/>
                <w:b/>
                <w:bCs/>
              </w:rPr>
              <w:drawing>
                <wp:inline distT="0" distB="0" distL="0" distR="0" wp14:anchorId="145EE729" wp14:editId="0896A132">
                  <wp:extent cx="1231900" cy="1732827"/>
                  <wp:effectExtent l="0" t="0" r="635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41678" cy="1746580"/>
                          </a:xfrm>
                          <a:prstGeom prst="rect">
                            <a:avLst/>
                          </a:prstGeom>
                        </pic:spPr>
                      </pic:pic>
                    </a:graphicData>
                  </a:graphic>
                </wp:inline>
              </w:drawing>
            </w:r>
          </w:p>
        </w:tc>
      </w:tr>
      <w:tr w:rsidR="00E23BAC" w:rsidRPr="00F11395" w14:paraId="57BD7B3F" w14:textId="77777777" w:rsidTr="002E1680">
        <w:tc>
          <w:tcPr>
            <w:tcW w:w="6658" w:type="dxa"/>
          </w:tcPr>
          <w:p w14:paraId="7665E215" w14:textId="77777777"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rPr>
              <w:t xml:space="preserve">2016 </w:t>
            </w:r>
          </w:p>
          <w:p w14:paraId="1B2DF7A1" w14:textId="15263903"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rPr>
              <w:t xml:space="preserve">Royal Academy of Engineering Report 2016 Engineering and economic growth: a global view  </w:t>
            </w:r>
            <w:hyperlink r:id="rId48" w:history="1">
              <w:r w:rsidRPr="00F11395">
                <w:rPr>
                  <w:rStyle w:val="Hyperlink"/>
                  <w:rFonts w:cstheme="minorHAnsi"/>
                  <w:color w:val="auto"/>
                </w:rPr>
                <w:t>https://www.raeng.org.uk/publications/reports/engineering-and-economic-growth-a-global-view</w:t>
              </w:r>
            </w:hyperlink>
          </w:p>
          <w:p w14:paraId="003753E3" w14:textId="4B46F697"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rPr>
              <w:t>This report, by the Centre for Economics and Business Research (</w:t>
            </w:r>
            <w:proofErr w:type="spellStart"/>
            <w:r w:rsidRPr="00F11395">
              <w:rPr>
                <w:rFonts w:cstheme="minorHAnsi"/>
              </w:rPr>
              <w:t>Cebr</w:t>
            </w:r>
            <w:proofErr w:type="spellEnd"/>
            <w:r w:rsidRPr="00F11395">
              <w:rPr>
                <w:rFonts w:cstheme="minorHAnsi"/>
              </w:rPr>
              <w:t>) commissioned by the Royal Academy of Engineering, considers the impact of engineering on economic development on a global scale. For the first time, this report brings together all available data from 99 countries (see Annex A for a full list) to paint a picture of global engineering: its workforce, output, prospective recruits, the quality of research and where its impacts are most needed. It uses a comprehensive selection of indicators to calculate a new ‘Engineering Index’: a measure of the engineering strength of different countries.</w:t>
            </w:r>
          </w:p>
        </w:tc>
        <w:tc>
          <w:tcPr>
            <w:tcW w:w="2358" w:type="dxa"/>
          </w:tcPr>
          <w:p w14:paraId="6599C8E9" w14:textId="1D13C757" w:rsidR="002E1AD5" w:rsidRPr="00F11395" w:rsidRDefault="002E1AD5" w:rsidP="00A83137">
            <w:pPr>
              <w:rPr>
                <w:rFonts w:cstheme="minorHAnsi"/>
                <w:b/>
                <w:bCs/>
              </w:rPr>
            </w:pPr>
            <w:r w:rsidRPr="00F11395">
              <w:rPr>
                <w:rFonts w:cstheme="minorHAnsi"/>
                <w:noProof/>
              </w:rPr>
              <w:drawing>
                <wp:anchor distT="0" distB="0" distL="114300" distR="114300" simplePos="0" relativeHeight="251659264" behindDoc="1" locked="0" layoutInCell="1" allowOverlap="1" wp14:anchorId="1AD30D2E" wp14:editId="31AE1D60">
                  <wp:simplePos x="0" y="0"/>
                  <wp:positionH relativeFrom="column">
                    <wp:posOffset>-635</wp:posOffset>
                  </wp:positionH>
                  <wp:positionV relativeFrom="paragraph">
                    <wp:posOffset>171450</wp:posOffset>
                  </wp:positionV>
                  <wp:extent cx="1242695" cy="1746250"/>
                  <wp:effectExtent l="0" t="0" r="0" b="6350"/>
                  <wp:wrapThrough wrapText="bothSides">
                    <wp:wrapPolygon edited="0">
                      <wp:start x="0" y="0"/>
                      <wp:lineTo x="0" y="21443"/>
                      <wp:lineTo x="21192" y="21443"/>
                      <wp:lineTo x="21192"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42695" cy="1746250"/>
                          </a:xfrm>
                          <a:prstGeom prst="rect">
                            <a:avLst/>
                          </a:prstGeom>
                        </pic:spPr>
                      </pic:pic>
                    </a:graphicData>
                  </a:graphic>
                  <wp14:sizeRelH relativeFrom="margin">
                    <wp14:pctWidth>0</wp14:pctWidth>
                  </wp14:sizeRelH>
                  <wp14:sizeRelV relativeFrom="margin">
                    <wp14:pctHeight>0</wp14:pctHeight>
                  </wp14:sizeRelV>
                </wp:anchor>
              </w:drawing>
            </w:r>
          </w:p>
        </w:tc>
      </w:tr>
      <w:tr w:rsidR="00273597" w:rsidRPr="00F11395" w14:paraId="4BEE3BB6" w14:textId="77777777" w:rsidTr="002E1680">
        <w:tc>
          <w:tcPr>
            <w:tcW w:w="6658" w:type="dxa"/>
          </w:tcPr>
          <w:p w14:paraId="36AFA4E6" w14:textId="03356B15" w:rsidR="00273597" w:rsidRDefault="00273597" w:rsidP="00A83137">
            <w:pPr>
              <w:numPr>
                <w:ilvl w:val="0"/>
                <w:numId w:val="1"/>
              </w:numPr>
              <w:shd w:val="clear" w:color="auto" w:fill="FFFFFF"/>
              <w:spacing w:before="100" w:beforeAutospacing="1" w:after="100" w:afterAutospacing="1"/>
              <w:ind w:left="0"/>
              <w:rPr>
                <w:rFonts w:cstheme="minorHAnsi"/>
              </w:rPr>
            </w:pPr>
            <w:r>
              <w:rPr>
                <w:rFonts w:cstheme="minorHAnsi"/>
              </w:rPr>
              <w:lastRenderedPageBreak/>
              <w:t>2016</w:t>
            </w:r>
            <w:r>
              <w:rPr>
                <w:rFonts w:cstheme="minorHAnsi"/>
              </w:rPr>
              <w:br/>
              <w:t>WIE WFEO</w:t>
            </w:r>
            <w:r w:rsidR="00A410F3">
              <w:rPr>
                <w:rFonts w:cstheme="minorHAnsi"/>
              </w:rPr>
              <w:t xml:space="preserve"> Presentation of Engineering Strategic Indicators</w:t>
            </w:r>
            <w:r w:rsidR="00DB30C1">
              <w:rPr>
                <w:rFonts w:cstheme="minorHAnsi"/>
              </w:rPr>
              <w:t>, Lima</w:t>
            </w:r>
          </w:p>
          <w:p w14:paraId="6305B646" w14:textId="77777777" w:rsidR="00DB30C1" w:rsidRPr="00DB30C1" w:rsidRDefault="00DB30C1" w:rsidP="00DB30C1">
            <w:pPr>
              <w:numPr>
                <w:ilvl w:val="0"/>
                <w:numId w:val="1"/>
              </w:numPr>
              <w:shd w:val="clear" w:color="auto" w:fill="FFFFFF"/>
              <w:spacing w:before="100" w:beforeAutospacing="1" w:after="100" w:afterAutospacing="1"/>
              <w:ind w:left="0"/>
              <w:rPr>
                <w:rFonts w:cstheme="minorHAnsi"/>
              </w:rPr>
            </w:pPr>
            <w:r w:rsidRPr="00DB30C1">
              <w:rPr>
                <w:rFonts w:cstheme="minorHAnsi"/>
                <w:b/>
                <w:bCs/>
                <w:lang w:val="it-IT"/>
              </w:rPr>
              <w:t>Eng. Ania Lopez – Consiglio Nazionale degli Ingegneri, Italy</w:t>
            </w:r>
          </w:p>
          <w:p w14:paraId="6BC680D5" w14:textId="63A6A3F8" w:rsidR="00DB30C1" w:rsidRPr="00F11395" w:rsidRDefault="00DB30C1" w:rsidP="00A83137">
            <w:pPr>
              <w:numPr>
                <w:ilvl w:val="0"/>
                <w:numId w:val="1"/>
              </w:numPr>
              <w:shd w:val="clear" w:color="auto" w:fill="FFFFFF"/>
              <w:spacing w:before="100" w:beforeAutospacing="1" w:after="100" w:afterAutospacing="1"/>
              <w:ind w:left="0"/>
              <w:rPr>
                <w:rFonts w:cstheme="minorHAnsi"/>
              </w:rPr>
            </w:pPr>
            <w:r>
              <w:rPr>
                <w:rFonts w:cstheme="minorHAnsi"/>
              </w:rPr>
              <w:t>(not online)</w:t>
            </w:r>
          </w:p>
        </w:tc>
        <w:tc>
          <w:tcPr>
            <w:tcW w:w="2358" w:type="dxa"/>
          </w:tcPr>
          <w:p w14:paraId="39494BD0" w14:textId="6F547086" w:rsidR="00273597" w:rsidRPr="00F11395" w:rsidRDefault="00273597" w:rsidP="00A83137">
            <w:pPr>
              <w:rPr>
                <w:rFonts w:cstheme="minorHAnsi"/>
                <w:noProof/>
              </w:rPr>
            </w:pPr>
            <w:r w:rsidRPr="00273597">
              <w:rPr>
                <w:rFonts w:cstheme="minorHAnsi"/>
                <w:noProof/>
              </w:rPr>
              <w:drawing>
                <wp:inline distT="0" distB="0" distL="0" distR="0" wp14:anchorId="156DA5B7" wp14:editId="2A7B19A6">
                  <wp:extent cx="1360170" cy="78676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60170" cy="786765"/>
                          </a:xfrm>
                          <a:prstGeom prst="rect">
                            <a:avLst/>
                          </a:prstGeom>
                        </pic:spPr>
                      </pic:pic>
                    </a:graphicData>
                  </a:graphic>
                </wp:inline>
              </w:drawing>
            </w:r>
          </w:p>
        </w:tc>
      </w:tr>
      <w:tr w:rsidR="00E23BAC" w:rsidRPr="00F11395" w14:paraId="5FFB8FB7" w14:textId="77777777" w:rsidTr="002E1680">
        <w:tc>
          <w:tcPr>
            <w:tcW w:w="6658" w:type="dxa"/>
          </w:tcPr>
          <w:p w14:paraId="6ECB45C3" w14:textId="43D60689" w:rsidR="00A83137" w:rsidRPr="00A83137" w:rsidRDefault="00E15BF1" w:rsidP="00A83137">
            <w:pPr>
              <w:spacing w:after="375"/>
              <w:outlineLvl w:val="0"/>
              <w:rPr>
                <w:rFonts w:eastAsia="Times New Roman" w:cstheme="minorHAnsi"/>
                <w:color w:val="111111"/>
                <w:kern w:val="36"/>
                <w:lang w:eastAsia="en-GB"/>
              </w:rPr>
            </w:pPr>
            <w:r w:rsidRPr="00F11395">
              <w:rPr>
                <w:rFonts w:eastAsia="Times New Roman" w:cstheme="minorHAnsi"/>
                <w:color w:val="111111"/>
                <w:kern w:val="36"/>
                <w:lang w:eastAsia="en-GB"/>
              </w:rPr>
              <w:t xml:space="preserve">2016 </w:t>
            </w:r>
            <w:r w:rsidRPr="00F11395">
              <w:rPr>
                <w:rFonts w:eastAsia="Times New Roman" w:cstheme="minorHAnsi"/>
                <w:color w:val="111111"/>
                <w:kern w:val="36"/>
                <w:lang w:eastAsia="en-GB"/>
              </w:rPr>
              <w:br/>
            </w:r>
            <w:r w:rsidR="00A83137" w:rsidRPr="00A83137">
              <w:rPr>
                <w:rFonts w:eastAsia="Times New Roman" w:cstheme="minorHAnsi"/>
                <w:color w:val="111111"/>
                <w:kern w:val="36"/>
                <w:lang w:eastAsia="en-GB"/>
              </w:rPr>
              <w:t xml:space="preserve">Women in STEM Disciplines: The </w:t>
            </w:r>
            <w:proofErr w:type="spellStart"/>
            <w:r w:rsidR="00A83137" w:rsidRPr="00A83137">
              <w:rPr>
                <w:rFonts w:eastAsia="Times New Roman" w:cstheme="minorHAnsi"/>
                <w:color w:val="111111"/>
                <w:kern w:val="36"/>
                <w:lang w:eastAsia="en-GB"/>
              </w:rPr>
              <w:t>Yfactor</w:t>
            </w:r>
            <w:proofErr w:type="spellEnd"/>
            <w:r w:rsidR="00A83137" w:rsidRPr="00A83137">
              <w:rPr>
                <w:rFonts w:eastAsia="Times New Roman" w:cstheme="minorHAnsi"/>
                <w:color w:val="111111"/>
                <w:kern w:val="36"/>
                <w:lang w:eastAsia="en-GB"/>
              </w:rPr>
              <w:t xml:space="preserve"> 2016 Global Report on Gender in Science, Technology, Engineering and Mathematics</w:t>
            </w:r>
          </w:p>
          <w:p w14:paraId="2BAA3503" w14:textId="40FB9B66" w:rsidR="00A83137" w:rsidRPr="00F11395" w:rsidRDefault="00A83137" w:rsidP="00A83137">
            <w:pPr>
              <w:numPr>
                <w:ilvl w:val="0"/>
                <w:numId w:val="1"/>
              </w:numPr>
              <w:shd w:val="clear" w:color="auto" w:fill="FFFFFF"/>
              <w:spacing w:before="100" w:beforeAutospacing="1" w:after="100" w:afterAutospacing="1"/>
              <w:ind w:left="0"/>
              <w:rPr>
                <w:rFonts w:cstheme="minorHAnsi"/>
              </w:rPr>
            </w:pPr>
            <w:r w:rsidRPr="00F11395">
              <w:rPr>
                <w:rFonts w:cstheme="minorHAnsi"/>
                <w:color w:val="111111"/>
                <w:shd w:val="clear" w:color="auto" w:fill="FFFFFF"/>
              </w:rPr>
              <w:t xml:space="preserve">This book presents the findings of a survey that </w:t>
            </w:r>
            <w:proofErr w:type="spellStart"/>
            <w:r w:rsidRPr="00F11395">
              <w:rPr>
                <w:rFonts w:cstheme="minorHAnsi"/>
                <w:color w:val="111111"/>
                <w:shd w:val="clear" w:color="auto" w:fill="FFFFFF"/>
              </w:rPr>
              <w:t>analyzes</w:t>
            </w:r>
            <w:proofErr w:type="spellEnd"/>
            <w:r w:rsidRPr="00F11395">
              <w:rPr>
                <w:rFonts w:cstheme="minorHAnsi"/>
                <w:color w:val="111111"/>
                <w:shd w:val="clear" w:color="auto" w:fill="FFFFFF"/>
              </w:rPr>
              <w:t xml:space="preserve"> a unique set of data on gender studies departments, and provides a clear and simple synthesis of heterogeneous databases on the gender gap in the STEM (Science, Technology, Engineering and Mathematics) setting, helping readers understand key trends and developments. </w:t>
            </w:r>
          </w:p>
        </w:tc>
        <w:tc>
          <w:tcPr>
            <w:tcW w:w="2358" w:type="dxa"/>
          </w:tcPr>
          <w:p w14:paraId="3BC06BFD" w14:textId="37F9519D" w:rsidR="00A83137" w:rsidRPr="00F11395" w:rsidRDefault="00A83137" w:rsidP="00A83137">
            <w:pPr>
              <w:rPr>
                <w:rFonts w:cstheme="minorHAnsi"/>
                <w:b/>
                <w:bCs/>
              </w:rPr>
            </w:pPr>
            <w:r w:rsidRPr="00F11395">
              <w:rPr>
                <w:rFonts w:cstheme="minorHAnsi"/>
                <w:b/>
                <w:bCs/>
              </w:rPr>
              <w:drawing>
                <wp:inline distT="0" distB="0" distL="0" distR="0" wp14:anchorId="72BCB7B1" wp14:editId="4CE00254">
                  <wp:extent cx="1238314" cy="18542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238314" cy="1854295"/>
                          </a:xfrm>
                          <a:prstGeom prst="rect">
                            <a:avLst/>
                          </a:prstGeom>
                        </pic:spPr>
                      </pic:pic>
                    </a:graphicData>
                  </a:graphic>
                </wp:inline>
              </w:drawing>
            </w:r>
          </w:p>
        </w:tc>
      </w:tr>
      <w:tr w:rsidR="00E23BAC" w:rsidRPr="00F11395" w14:paraId="0ECEEBA8" w14:textId="77777777" w:rsidTr="002E1680">
        <w:tc>
          <w:tcPr>
            <w:tcW w:w="6658" w:type="dxa"/>
          </w:tcPr>
          <w:p w14:paraId="1FE707AC" w14:textId="1BDEFE07" w:rsidR="008210A9" w:rsidRPr="00F11395" w:rsidRDefault="004118F5" w:rsidP="00A83137">
            <w:pPr>
              <w:spacing w:after="375"/>
              <w:outlineLvl w:val="0"/>
              <w:rPr>
                <w:rFonts w:eastAsia="Times New Roman" w:cstheme="minorHAnsi"/>
                <w:color w:val="111111"/>
                <w:kern w:val="36"/>
                <w:lang w:eastAsia="en-GB"/>
              </w:rPr>
            </w:pPr>
            <w:r w:rsidRPr="00F11395">
              <w:rPr>
                <w:rFonts w:eastAsia="Times New Roman" w:cstheme="minorHAnsi"/>
                <w:color w:val="111111"/>
                <w:kern w:val="36"/>
                <w:lang w:eastAsia="en-GB"/>
              </w:rPr>
              <w:t>2016</w:t>
            </w:r>
            <w:r w:rsidR="008210A9" w:rsidRPr="00F11395">
              <w:rPr>
                <w:rFonts w:eastAsia="Times New Roman" w:cstheme="minorHAnsi"/>
                <w:color w:val="111111"/>
                <w:kern w:val="36"/>
                <w:lang w:eastAsia="en-GB"/>
              </w:rPr>
              <w:br/>
            </w:r>
            <w:r w:rsidR="00216E02" w:rsidRPr="00F11395">
              <w:rPr>
                <w:rFonts w:eastAsia="Times New Roman" w:cstheme="minorHAnsi"/>
                <w:color w:val="111111"/>
                <w:kern w:val="36"/>
                <w:lang w:eastAsia="en-GB"/>
              </w:rPr>
              <w:t xml:space="preserve">STEM and Gender Advancement, </w:t>
            </w:r>
            <w:r w:rsidR="008210A9" w:rsidRPr="00F11395">
              <w:rPr>
                <w:rFonts w:eastAsia="Times New Roman" w:cstheme="minorHAnsi"/>
                <w:color w:val="111111"/>
                <w:kern w:val="36"/>
                <w:lang w:eastAsia="en-GB"/>
              </w:rPr>
              <w:t>SAGA: Measuring Gender Equality in Science and Engineering</w:t>
            </w:r>
            <w:r w:rsidR="00E2530C" w:rsidRPr="00F11395">
              <w:rPr>
                <w:rFonts w:eastAsia="Times New Roman" w:cstheme="minorHAnsi"/>
                <w:color w:val="111111"/>
                <w:kern w:val="36"/>
                <w:lang w:eastAsia="en-GB"/>
              </w:rPr>
              <w:t xml:space="preserve"> </w:t>
            </w:r>
            <w:hyperlink r:id="rId52" w:history="1">
              <w:r w:rsidR="00E2530C" w:rsidRPr="00F11395">
                <w:rPr>
                  <w:rStyle w:val="Hyperlink"/>
                  <w:rFonts w:cstheme="minorHAnsi"/>
                </w:rPr>
                <w:t>http://uis.unesco.org/sites/default/files/documents/saga-sti-objectives-list-wp1-2016-en.pdf</w:t>
              </w:r>
            </w:hyperlink>
          </w:p>
          <w:p w14:paraId="106BB05A" w14:textId="4F1E270B" w:rsidR="00216E02" w:rsidRPr="00F11395" w:rsidRDefault="00216E02" w:rsidP="00A83137">
            <w:pPr>
              <w:spacing w:after="375"/>
              <w:outlineLvl w:val="0"/>
              <w:rPr>
                <w:rFonts w:eastAsia="Times New Roman" w:cstheme="minorHAnsi"/>
                <w:color w:val="111111"/>
                <w:kern w:val="36"/>
                <w:lang w:eastAsia="en-GB"/>
              </w:rPr>
            </w:pPr>
            <w:r w:rsidRPr="00F11395">
              <w:rPr>
                <w:rFonts w:cstheme="minorHAnsi"/>
              </w:rPr>
              <w:t>SAGA is a global UNESCO project supported by the Government of Sweden through the Swedish International Development Cooperation Agency (</w:t>
            </w:r>
            <w:proofErr w:type="spellStart"/>
            <w:r w:rsidRPr="00F11395">
              <w:rPr>
                <w:rFonts w:cstheme="minorHAnsi"/>
              </w:rPr>
              <w:t>Sida</w:t>
            </w:r>
            <w:proofErr w:type="spellEnd"/>
            <w:r w:rsidRPr="00F11395">
              <w:rPr>
                <w:rFonts w:cstheme="minorHAnsi"/>
              </w:rPr>
              <w:t xml:space="preserve">). The general objective of SAGA is to contribute to reducing the gender gap in science, technology, engineering and mathematics (STEM) fields in all countries at all levels of education and research, by determining, measuring and assessing sex-disaggregated data, as well as supporting the design and implementation of policy instruments that affect gender equality in STEM. Furthermore, SAGA aims to </w:t>
            </w:r>
            <w:proofErr w:type="spellStart"/>
            <w:r w:rsidRPr="00F11395">
              <w:rPr>
                <w:rFonts w:cstheme="minorHAnsi"/>
              </w:rPr>
              <w:t>analyze</w:t>
            </w:r>
            <w:proofErr w:type="spellEnd"/>
            <w:r w:rsidRPr="00F11395">
              <w:rPr>
                <w:rFonts w:cstheme="minorHAnsi"/>
              </w:rPr>
              <w:t xml:space="preserve"> how policies affect the gender balance in STEM, undertake inventories of science, technology and innovation (STI) gender equality policies, develop new and better indicators to provide tools for evidence-based policy-making, build capacity in Member States for data collection on gender in STEM, and prepare methodological documents to support the collection of statistics.</w:t>
            </w:r>
          </w:p>
        </w:tc>
        <w:tc>
          <w:tcPr>
            <w:tcW w:w="2358" w:type="dxa"/>
          </w:tcPr>
          <w:p w14:paraId="0E59318F" w14:textId="3067DAEB" w:rsidR="004118F5" w:rsidRPr="00F11395" w:rsidRDefault="004118F5" w:rsidP="00A83137">
            <w:pPr>
              <w:rPr>
                <w:rFonts w:cstheme="minorHAnsi"/>
                <w:b/>
                <w:bCs/>
              </w:rPr>
            </w:pPr>
            <w:r w:rsidRPr="00F11395">
              <w:rPr>
                <w:rFonts w:cstheme="minorHAnsi"/>
                <w:b/>
                <w:bCs/>
              </w:rPr>
              <w:drawing>
                <wp:inline distT="0" distB="0" distL="0" distR="0" wp14:anchorId="1B4634FA" wp14:editId="1E5CE07B">
                  <wp:extent cx="1212850" cy="1750323"/>
                  <wp:effectExtent l="0" t="0" r="635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218357" cy="1758270"/>
                          </a:xfrm>
                          <a:prstGeom prst="rect">
                            <a:avLst/>
                          </a:prstGeom>
                        </pic:spPr>
                      </pic:pic>
                    </a:graphicData>
                  </a:graphic>
                </wp:inline>
              </w:drawing>
            </w:r>
          </w:p>
        </w:tc>
      </w:tr>
      <w:tr w:rsidR="00761F08" w:rsidRPr="00F11395" w14:paraId="7F704A5C" w14:textId="77777777" w:rsidTr="002E1680">
        <w:tc>
          <w:tcPr>
            <w:tcW w:w="6658" w:type="dxa"/>
          </w:tcPr>
          <w:p w14:paraId="50C24194" w14:textId="2CEA6609" w:rsidR="00761F08" w:rsidRDefault="00761F08" w:rsidP="00A83137">
            <w:pPr>
              <w:spacing w:after="375"/>
              <w:outlineLvl w:val="0"/>
              <w:rPr>
                <w:rFonts w:eastAsia="Times New Roman" w:cstheme="minorHAnsi"/>
                <w:color w:val="111111"/>
                <w:kern w:val="36"/>
                <w:lang w:eastAsia="en-GB"/>
              </w:rPr>
            </w:pPr>
            <w:r>
              <w:rPr>
                <w:rFonts w:eastAsia="Times New Roman" w:cstheme="minorHAnsi"/>
                <w:color w:val="111111"/>
                <w:kern w:val="36"/>
                <w:lang w:eastAsia="en-GB"/>
              </w:rPr>
              <w:t>2015</w:t>
            </w:r>
            <w:r>
              <w:rPr>
                <w:rFonts w:eastAsia="Times New Roman" w:cstheme="minorHAnsi"/>
                <w:color w:val="111111"/>
                <w:kern w:val="36"/>
                <w:lang w:eastAsia="en-GB"/>
              </w:rPr>
              <w:br/>
              <w:t>UNESCO Science Report</w:t>
            </w:r>
            <w:r w:rsidR="0046107C">
              <w:rPr>
                <w:rFonts w:eastAsia="Times New Roman" w:cstheme="minorHAnsi"/>
                <w:color w:val="111111"/>
                <w:kern w:val="36"/>
                <w:lang w:eastAsia="en-GB"/>
              </w:rPr>
              <w:t>: Towards 2030</w:t>
            </w:r>
          </w:p>
          <w:p w14:paraId="375921B7" w14:textId="7724051E" w:rsidR="000B738B" w:rsidRDefault="00C02AB1" w:rsidP="00A83137">
            <w:pPr>
              <w:spacing w:after="375"/>
              <w:outlineLvl w:val="0"/>
              <w:rPr>
                <w:rFonts w:eastAsia="Times New Roman" w:cstheme="minorHAnsi"/>
                <w:color w:val="111111"/>
                <w:kern w:val="36"/>
                <w:lang w:eastAsia="en-GB"/>
              </w:rPr>
            </w:pPr>
            <w:hyperlink r:id="rId54" w:history="1">
              <w:r w:rsidRPr="00C02AB1">
                <w:rPr>
                  <w:rStyle w:val="Hyperlink"/>
                  <w:rFonts w:eastAsia="Times New Roman" w:cstheme="minorHAnsi"/>
                  <w:kern w:val="36"/>
                  <w:lang w:eastAsia="en-GB"/>
                </w:rPr>
                <w:t>https://unesdoc.unesco.org/ark:/48223/pf0000235407</w:t>
              </w:r>
            </w:hyperlink>
          </w:p>
          <w:p w14:paraId="04FCD5BA" w14:textId="61C8E0A9" w:rsidR="000B738B" w:rsidRPr="00F11395" w:rsidRDefault="000B738B" w:rsidP="00A83137">
            <w:pPr>
              <w:spacing w:after="375"/>
              <w:outlineLvl w:val="0"/>
              <w:rPr>
                <w:rFonts w:eastAsia="Times New Roman" w:cstheme="minorHAnsi"/>
                <w:color w:val="111111"/>
                <w:kern w:val="36"/>
                <w:lang w:eastAsia="en-GB"/>
              </w:rPr>
            </w:pPr>
            <w:r w:rsidRPr="000B738B">
              <w:rPr>
                <w:rFonts w:eastAsia="Times New Roman" w:cstheme="minorHAnsi"/>
                <w:color w:val="111111"/>
                <w:kern w:val="36"/>
                <w:lang w:eastAsia="en-GB"/>
              </w:rPr>
              <w:t xml:space="preserve">For two decades now, the UNESCO Science Report series has been mapping science, technology and innovation (STI) around the world on a regular basis. Since STI do not evolve in a vacuum, this latest edition summarizes the evolution since 2010 against the backdrop of socio-economic, geopolitical and environmental trends that have helped to shape contemporary STI policy and </w:t>
            </w:r>
            <w:proofErr w:type="spellStart"/>
            <w:r w:rsidRPr="000B738B">
              <w:rPr>
                <w:rFonts w:eastAsia="Times New Roman" w:cstheme="minorHAnsi"/>
                <w:color w:val="111111"/>
                <w:kern w:val="36"/>
                <w:lang w:eastAsia="en-GB"/>
              </w:rPr>
              <w:t>governan</w:t>
            </w:r>
            <w:proofErr w:type="spellEnd"/>
          </w:p>
        </w:tc>
        <w:tc>
          <w:tcPr>
            <w:tcW w:w="2358" w:type="dxa"/>
          </w:tcPr>
          <w:p w14:paraId="72A001C1" w14:textId="749CA808" w:rsidR="00761F08" w:rsidRPr="00F11395" w:rsidRDefault="00761F08" w:rsidP="00A83137">
            <w:pPr>
              <w:rPr>
                <w:rFonts w:cstheme="minorHAnsi"/>
                <w:b/>
                <w:bCs/>
              </w:rPr>
            </w:pPr>
            <w:r w:rsidRPr="00761F08">
              <w:rPr>
                <w:rFonts w:cstheme="minorHAnsi"/>
                <w:b/>
                <w:bCs/>
              </w:rPr>
              <w:drawing>
                <wp:inline distT="0" distB="0" distL="0" distR="0" wp14:anchorId="38E7369D" wp14:editId="1926FAAE">
                  <wp:extent cx="1352620" cy="184794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352620" cy="1847945"/>
                          </a:xfrm>
                          <a:prstGeom prst="rect">
                            <a:avLst/>
                          </a:prstGeom>
                        </pic:spPr>
                      </pic:pic>
                    </a:graphicData>
                  </a:graphic>
                </wp:inline>
              </w:drawing>
            </w:r>
          </w:p>
        </w:tc>
      </w:tr>
      <w:tr w:rsidR="00E23BAC" w:rsidRPr="00F11395" w14:paraId="535F9C8C" w14:textId="77777777" w:rsidTr="002E1680">
        <w:tc>
          <w:tcPr>
            <w:tcW w:w="6658" w:type="dxa"/>
          </w:tcPr>
          <w:p w14:paraId="506A97B9" w14:textId="6BF937AC" w:rsidR="00A83137" w:rsidRPr="00F11395" w:rsidRDefault="00A83137" w:rsidP="00A83137">
            <w:pPr>
              <w:spacing w:after="375"/>
              <w:outlineLvl w:val="0"/>
              <w:rPr>
                <w:rFonts w:eastAsia="Times New Roman" w:cstheme="minorHAnsi"/>
                <w:color w:val="111111"/>
                <w:kern w:val="36"/>
                <w:lang w:eastAsia="en-GB"/>
              </w:rPr>
            </w:pPr>
            <w:r w:rsidRPr="00F11395">
              <w:rPr>
                <w:rFonts w:eastAsia="Times New Roman" w:cstheme="minorHAnsi"/>
                <w:color w:val="111111"/>
                <w:kern w:val="36"/>
                <w:lang w:eastAsia="en-GB"/>
              </w:rPr>
              <w:lastRenderedPageBreak/>
              <w:t xml:space="preserve">2015 </w:t>
            </w:r>
            <w:r w:rsidR="00FC169D">
              <w:rPr>
                <w:rFonts w:eastAsia="Times New Roman" w:cstheme="minorHAnsi"/>
                <w:color w:val="111111"/>
                <w:kern w:val="36"/>
                <w:lang w:eastAsia="en-GB"/>
              </w:rPr>
              <w:br/>
            </w:r>
            <w:proofErr w:type="spellStart"/>
            <w:r w:rsidRPr="00F11395">
              <w:rPr>
                <w:rFonts w:eastAsia="Times New Roman" w:cstheme="minorHAnsi"/>
                <w:color w:val="111111"/>
                <w:kern w:val="36"/>
                <w:lang w:eastAsia="en-GB"/>
              </w:rPr>
              <w:t>YFactor</w:t>
            </w:r>
            <w:proofErr w:type="spellEnd"/>
            <w:r w:rsidRPr="00F11395">
              <w:rPr>
                <w:rFonts w:eastAsia="Times New Roman" w:cstheme="minorHAnsi"/>
                <w:color w:val="111111"/>
                <w:kern w:val="36"/>
                <w:lang w:eastAsia="en-GB"/>
              </w:rPr>
              <w:t xml:space="preserve"> Report </w:t>
            </w:r>
          </w:p>
          <w:p w14:paraId="465C98A3" w14:textId="77777777" w:rsidR="00A83137" w:rsidRDefault="00A83137" w:rsidP="00A83137">
            <w:pPr>
              <w:spacing w:after="375"/>
              <w:outlineLvl w:val="0"/>
              <w:rPr>
                <w:rFonts w:eastAsia="Times New Roman" w:cstheme="minorHAnsi"/>
                <w:color w:val="111111"/>
                <w:kern w:val="36"/>
                <w:lang w:eastAsia="en-GB"/>
              </w:rPr>
            </w:pPr>
            <w:r w:rsidRPr="00F11395">
              <w:rPr>
                <w:rFonts w:eastAsia="Times New Roman" w:cstheme="minorHAnsi"/>
                <w:color w:val="111111"/>
                <w:kern w:val="36"/>
                <w:lang w:eastAsia="en-GB"/>
              </w:rPr>
              <w:t>Women in STEM</w:t>
            </w:r>
            <w:r w:rsidR="00E2530C" w:rsidRPr="00F11395">
              <w:rPr>
                <w:rFonts w:eastAsia="Times New Roman" w:cstheme="minorHAnsi"/>
                <w:color w:val="111111"/>
                <w:kern w:val="36"/>
                <w:lang w:eastAsia="en-GB"/>
              </w:rPr>
              <w:t xml:space="preserve"> Disciplines report 2015</w:t>
            </w:r>
          </w:p>
          <w:p w14:paraId="48CEBC00" w14:textId="77777777" w:rsidR="00061C1C" w:rsidRPr="00061C1C" w:rsidRDefault="00061C1C" w:rsidP="00061C1C">
            <w:pPr>
              <w:rPr>
                <w:rFonts w:eastAsia="Times New Roman" w:cstheme="minorHAnsi"/>
                <w:color w:val="111111"/>
                <w:kern w:val="36"/>
                <w:lang w:eastAsia="en-GB"/>
              </w:rPr>
            </w:pPr>
            <w:r w:rsidRPr="00061C1C">
              <w:rPr>
                <w:rFonts w:eastAsia="Times New Roman" w:cstheme="minorHAnsi"/>
                <w:color w:val="111111"/>
                <w:kern w:val="36"/>
                <w:lang w:eastAsia="en-GB"/>
              </w:rPr>
              <w:t xml:space="preserve">Building on the methodology and experience, the survey is now global. In partnership with OECD, and UNESCO, as well as the support of nearly 40 NGO’ working on women in science and technology from Middle East and North Africa, Asia, Latin America, North America, Europe and Canada this survey is now covering all regions in the world. The goal remains the same:  assess evolutions, </w:t>
            </w:r>
            <w:proofErr w:type="spellStart"/>
            <w:r w:rsidRPr="00061C1C">
              <w:rPr>
                <w:rFonts w:eastAsia="Times New Roman" w:cstheme="minorHAnsi"/>
                <w:color w:val="111111"/>
                <w:kern w:val="36"/>
                <w:lang w:eastAsia="en-GB"/>
              </w:rPr>
              <w:t>analyze</w:t>
            </w:r>
            <w:proofErr w:type="spellEnd"/>
            <w:r w:rsidRPr="00061C1C">
              <w:rPr>
                <w:rFonts w:eastAsia="Times New Roman" w:cstheme="minorHAnsi"/>
                <w:color w:val="111111"/>
                <w:kern w:val="36"/>
                <w:lang w:eastAsia="en-GB"/>
              </w:rPr>
              <w:t xml:space="preserve"> key issues and identify solutions.  </w:t>
            </w:r>
          </w:p>
          <w:p w14:paraId="457922CF" w14:textId="161BDF92" w:rsidR="00061C1C" w:rsidRPr="00F11395" w:rsidRDefault="00061C1C" w:rsidP="00A83137">
            <w:pPr>
              <w:spacing w:after="375"/>
              <w:outlineLvl w:val="0"/>
              <w:rPr>
                <w:rFonts w:eastAsia="Times New Roman" w:cstheme="minorHAnsi"/>
                <w:color w:val="111111"/>
                <w:kern w:val="36"/>
                <w:lang w:eastAsia="en-GB"/>
              </w:rPr>
            </w:pPr>
          </w:p>
        </w:tc>
        <w:tc>
          <w:tcPr>
            <w:tcW w:w="2358" w:type="dxa"/>
          </w:tcPr>
          <w:p w14:paraId="53392C26" w14:textId="3C83FEB1" w:rsidR="00A83137" w:rsidRPr="00F11395" w:rsidRDefault="00A83137" w:rsidP="00A83137">
            <w:pPr>
              <w:rPr>
                <w:rFonts w:cstheme="minorHAnsi"/>
                <w:b/>
                <w:bCs/>
              </w:rPr>
            </w:pPr>
            <w:r w:rsidRPr="00F11395">
              <w:rPr>
                <w:rFonts w:cstheme="minorHAnsi"/>
                <w:b/>
                <w:bCs/>
              </w:rPr>
              <w:drawing>
                <wp:inline distT="0" distB="0" distL="0" distR="0" wp14:anchorId="2ECE9429" wp14:editId="5D49635C">
                  <wp:extent cx="1308100" cy="1936097"/>
                  <wp:effectExtent l="0" t="0" r="635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17765" cy="1950402"/>
                          </a:xfrm>
                          <a:prstGeom prst="rect">
                            <a:avLst/>
                          </a:prstGeom>
                        </pic:spPr>
                      </pic:pic>
                    </a:graphicData>
                  </a:graphic>
                </wp:inline>
              </w:drawing>
            </w:r>
          </w:p>
        </w:tc>
      </w:tr>
      <w:tr w:rsidR="00FE34F8" w:rsidRPr="00F11395" w14:paraId="6503CBA2" w14:textId="77777777" w:rsidTr="002E1680">
        <w:tc>
          <w:tcPr>
            <w:tcW w:w="6658" w:type="dxa"/>
          </w:tcPr>
          <w:p w14:paraId="0983B42B" w14:textId="30F5CC9A" w:rsidR="00E23BAC" w:rsidRPr="00F11395" w:rsidRDefault="00E23BAC" w:rsidP="00A83137">
            <w:pPr>
              <w:spacing w:after="375"/>
              <w:outlineLvl w:val="0"/>
              <w:rPr>
                <w:rFonts w:eastAsia="Times New Roman" w:cstheme="minorHAnsi"/>
                <w:color w:val="111111"/>
                <w:kern w:val="36"/>
                <w:lang w:eastAsia="en-GB"/>
              </w:rPr>
            </w:pPr>
            <w:r w:rsidRPr="00F11395">
              <w:rPr>
                <w:rFonts w:eastAsia="Times New Roman" w:cstheme="minorHAnsi"/>
                <w:color w:val="111111"/>
                <w:kern w:val="36"/>
                <w:lang w:eastAsia="en-GB"/>
              </w:rPr>
              <w:t>2010</w:t>
            </w:r>
            <w:r w:rsidRPr="00F11395">
              <w:rPr>
                <w:rFonts w:eastAsia="Times New Roman" w:cstheme="minorHAnsi"/>
                <w:color w:val="111111"/>
                <w:kern w:val="36"/>
                <w:lang w:eastAsia="en-GB"/>
              </w:rPr>
              <w:br/>
              <w:t>Why So Few</w:t>
            </w:r>
            <w:r w:rsidR="00816922" w:rsidRPr="00F11395">
              <w:rPr>
                <w:rFonts w:eastAsia="Times New Roman" w:cstheme="minorHAnsi"/>
                <w:color w:val="111111"/>
                <w:kern w:val="36"/>
                <w:lang w:eastAsia="en-GB"/>
              </w:rPr>
              <w:t>?</w:t>
            </w:r>
            <w:r w:rsidR="00177615" w:rsidRPr="00F11395">
              <w:rPr>
                <w:rFonts w:eastAsia="Times New Roman" w:cstheme="minorHAnsi"/>
                <w:color w:val="111111"/>
                <w:kern w:val="36"/>
                <w:lang w:eastAsia="en-GB"/>
              </w:rPr>
              <w:t xml:space="preserve"> US report</w:t>
            </w:r>
          </w:p>
          <w:p w14:paraId="2542903D" w14:textId="5D71EF32" w:rsidR="00816922" w:rsidRPr="00F11395" w:rsidRDefault="006A67DC" w:rsidP="00A83137">
            <w:pPr>
              <w:spacing w:after="375"/>
              <w:outlineLvl w:val="0"/>
              <w:rPr>
                <w:rFonts w:eastAsia="Times New Roman" w:cstheme="minorHAnsi"/>
                <w:color w:val="111111"/>
                <w:kern w:val="36"/>
                <w:lang w:eastAsia="en-GB"/>
              </w:rPr>
            </w:pPr>
            <w:hyperlink r:id="rId57" w:history="1">
              <w:r w:rsidRPr="00F11395">
                <w:rPr>
                  <w:rStyle w:val="Hyperlink"/>
                  <w:rFonts w:eastAsia="Times New Roman" w:cstheme="minorHAnsi"/>
                  <w:kern w:val="36"/>
                  <w:lang w:eastAsia="en-GB"/>
                </w:rPr>
                <w:t>https://www.researchgate.net/publication/234647120_Why_So_Few_Women_in_Science_Technology_Engineering_and_Mathematics</w:t>
              </w:r>
            </w:hyperlink>
          </w:p>
          <w:p w14:paraId="0C536CD3" w14:textId="03B8C312" w:rsidR="006A67DC" w:rsidRPr="00F11395" w:rsidRDefault="00DB6D35" w:rsidP="00A83137">
            <w:pPr>
              <w:spacing w:after="375"/>
              <w:outlineLvl w:val="0"/>
              <w:rPr>
                <w:rFonts w:eastAsia="Times New Roman" w:cstheme="minorHAnsi"/>
                <w:color w:val="111111"/>
                <w:kern w:val="36"/>
                <w:lang w:eastAsia="en-GB"/>
              </w:rPr>
            </w:pPr>
            <w:r w:rsidRPr="00F11395">
              <w:rPr>
                <w:rFonts w:cstheme="minorHAnsi"/>
                <w:color w:val="333333"/>
                <w:shd w:val="clear" w:color="auto" w:fill="FFFFFF"/>
              </w:rPr>
              <w:t>The number of women in science and engineering is growing, yet men continue to outnumber women, especially at the upper levels of these professions. In elementary, middle, and high school, girls and boys take math and science courses in roughly equal numbers, and about as many girls as boys leave high school prepared to pursue science and engineering majors in college. Yet fewer women than men pursue these majors. Among first-year college students, women are much less likely than men to say that they intend to major in science, technology, engineering, or math (STEM). By graduation, men outnumber women in nearly every science and engineering field, and in some, such as physics, engineering, and computer science, the difference is dramatic, with women earning only 20 percent of bachelor's degrees. Women's representation in science and engineering declines further at the graduate level and yet again in the transition to the workplace. Drawing on a large and diverse body of research, this report presents eight recent research findings that provide evidence that social and environmental factors contribute to the under-representation of women in</w:t>
            </w:r>
            <w:r w:rsidRPr="00F11395">
              <w:rPr>
                <w:rFonts w:cstheme="minorHAnsi"/>
                <w:color w:val="333333"/>
                <w:shd w:val="clear" w:color="auto" w:fill="FFFFFF"/>
              </w:rPr>
              <w:t xml:space="preserve"> STEM.</w:t>
            </w:r>
          </w:p>
        </w:tc>
        <w:tc>
          <w:tcPr>
            <w:tcW w:w="2358" w:type="dxa"/>
          </w:tcPr>
          <w:p w14:paraId="778283B6" w14:textId="682EF96F" w:rsidR="00E23BAC" w:rsidRPr="00F11395" w:rsidRDefault="00E23BAC" w:rsidP="00A83137">
            <w:pPr>
              <w:rPr>
                <w:rFonts w:cstheme="minorHAnsi"/>
                <w:b/>
                <w:bCs/>
              </w:rPr>
            </w:pPr>
            <w:r w:rsidRPr="00F11395">
              <w:rPr>
                <w:rFonts w:cstheme="minorHAnsi"/>
                <w:b/>
                <w:bCs/>
              </w:rPr>
              <w:drawing>
                <wp:inline distT="0" distB="0" distL="0" distR="0" wp14:anchorId="6D23F9A1" wp14:editId="2792AC95">
                  <wp:extent cx="1346634" cy="177800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369871" cy="1808681"/>
                          </a:xfrm>
                          <a:prstGeom prst="rect">
                            <a:avLst/>
                          </a:prstGeom>
                        </pic:spPr>
                      </pic:pic>
                    </a:graphicData>
                  </a:graphic>
                </wp:inline>
              </w:drawing>
            </w:r>
          </w:p>
        </w:tc>
      </w:tr>
    </w:tbl>
    <w:p w14:paraId="702237DA" w14:textId="77777777" w:rsidR="001652A5" w:rsidRPr="00F11395" w:rsidRDefault="001652A5" w:rsidP="001652A5">
      <w:pPr>
        <w:rPr>
          <w:rFonts w:cstheme="minorHAnsi"/>
          <w:b/>
          <w:bCs/>
        </w:rPr>
      </w:pPr>
    </w:p>
    <w:p w14:paraId="3E0CBDF3" w14:textId="77777777" w:rsidR="001652A5" w:rsidRPr="00F11395" w:rsidRDefault="001652A5" w:rsidP="001652A5">
      <w:pPr>
        <w:pStyle w:val="Reference"/>
        <w:rPr>
          <w:rFonts w:asciiTheme="minorHAnsi" w:hAnsiTheme="minorHAnsi" w:cstheme="minorHAnsi"/>
          <w:sz w:val="22"/>
          <w:szCs w:val="22"/>
          <w:lang w:val="en-GB"/>
        </w:rPr>
      </w:pPr>
    </w:p>
    <w:p w14:paraId="0C91C2F2" w14:textId="77777777" w:rsidR="001652A5" w:rsidRPr="00F11395" w:rsidRDefault="001652A5">
      <w:pPr>
        <w:rPr>
          <w:rFonts w:cstheme="minorHAnsi"/>
        </w:rPr>
      </w:pPr>
    </w:p>
    <w:sectPr w:rsidR="001652A5" w:rsidRPr="00F11395">
      <w:footerReference w:type="default" r:id="rId5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B40344" w14:textId="77777777" w:rsidR="008079DF" w:rsidRDefault="008079DF" w:rsidP="008079DF">
      <w:pPr>
        <w:spacing w:after="0" w:line="240" w:lineRule="auto"/>
      </w:pPr>
      <w:r>
        <w:separator/>
      </w:r>
    </w:p>
  </w:endnote>
  <w:endnote w:type="continuationSeparator" w:id="0">
    <w:p w14:paraId="679AD566" w14:textId="77777777" w:rsidR="008079DF" w:rsidRDefault="008079DF" w:rsidP="00807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123EC0" w14:textId="57838E69" w:rsidR="008079DF" w:rsidRDefault="008079DF">
    <w:pPr>
      <w:pStyle w:val="Footer"/>
    </w:pPr>
    <w:r>
      <w:t>Dawn Bonfield, Women in Engineering Committee, WFEO</w:t>
    </w:r>
    <w:r>
      <w:tab/>
      <w:t>April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8234F9" w14:textId="77777777" w:rsidR="008079DF" w:rsidRDefault="008079DF" w:rsidP="008079DF">
      <w:pPr>
        <w:spacing w:after="0" w:line="240" w:lineRule="auto"/>
      </w:pPr>
      <w:r>
        <w:separator/>
      </w:r>
    </w:p>
  </w:footnote>
  <w:footnote w:type="continuationSeparator" w:id="0">
    <w:p w14:paraId="7C892B36" w14:textId="77777777" w:rsidR="008079DF" w:rsidRDefault="008079DF" w:rsidP="00807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21F39E9"/>
    <w:multiLevelType w:val="multilevel"/>
    <w:tmpl w:val="CFD84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E543BA0"/>
    <w:multiLevelType w:val="multilevel"/>
    <w:tmpl w:val="67B27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52A5"/>
    <w:rsid w:val="0002742B"/>
    <w:rsid w:val="0005071B"/>
    <w:rsid w:val="00061C1C"/>
    <w:rsid w:val="000B738B"/>
    <w:rsid w:val="001267D9"/>
    <w:rsid w:val="001652A5"/>
    <w:rsid w:val="00177615"/>
    <w:rsid w:val="00216E02"/>
    <w:rsid w:val="00273597"/>
    <w:rsid w:val="002967D3"/>
    <w:rsid w:val="002D1AF9"/>
    <w:rsid w:val="002E1680"/>
    <w:rsid w:val="002E1AD5"/>
    <w:rsid w:val="00346472"/>
    <w:rsid w:val="003F0425"/>
    <w:rsid w:val="0040754C"/>
    <w:rsid w:val="004118F5"/>
    <w:rsid w:val="00440A52"/>
    <w:rsid w:val="00441475"/>
    <w:rsid w:val="0046107C"/>
    <w:rsid w:val="004C04F7"/>
    <w:rsid w:val="004C6ADB"/>
    <w:rsid w:val="00594DB1"/>
    <w:rsid w:val="005D2C1F"/>
    <w:rsid w:val="005F0E6C"/>
    <w:rsid w:val="00660B75"/>
    <w:rsid w:val="006A67DC"/>
    <w:rsid w:val="00761F08"/>
    <w:rsid w:val="007C3EA1"/>
    <w:rsid w:val="008060EB"/>
    <w:rsid w:val="008079DF"/>
    <w:rsid w:val="00816922"/>
    <w:rsid w:val="008210A9"/>
    <w:rsid w:val="008814B7"/>
    <w:rsid w:val="00897128"/>
    <w:rsid w:val="008C2A8D"/>
    <w:rsid w:val="0091442B"/>
    <w:rsid w:val="00A410F3"/>
    <w:rsid w:val="00A6062E"/>
    <w:rsid w:val="00A83137"/>
    <w:rsid w:val="00AD4E47"/>
    <w:rsid w:val="00B56DA2"/>
    <w:rsid w:val="00B8772D"/>
    <w:rsid w:val="00B87B12"/>
    <w:rsid w:val="00BF3B75"/>
    <w:rsid w:val="00C02AB1"/>
    <w:rsid w:val="00C40FDA"/>
    <w:rsid w:val="00C45AC9"/>
    <w:rsid w:val="00DA047A"/>
    <w:rsid w:val="00DB30C1"/>
    <w:rsid w:val="00DB6D35"/>
    <w:rsid w:val="00DE157A"/>
    <w:rsid w:val="00DF5CC2"/>
    <w:rsid w:val="00E000CC"/>
    <w:rsid w:val="00E15BF1"/>
    <w:rsid w:val="00E23BAC"/>
    <w:rsid w:val="00E2530C"/>
    <w:rsid w:val="00F11395"/>
    <w:rsid w:val="00F628ED"/>
    <w:rsid w:val="00FC169D"/>
    <w:rsid w:val="00FE25BD"/>
    <w:rsid w:val="00FE34F8"/>
    <w:rsid w:val="00FE66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A1A30A"/>
  <w15:chartTrackingRefBased/>
  <w15:docId w15:val="{E784EB75-AFF1-4F2C-BF1E-0D02AC05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2A5"/>
  </w:style>
  <w:style w:type="paragraph" w:styleId="Heading1">
    <w:name w:val="heading 1"/>
    <w:basedOn w:val="Normal"/>
    <w:link w:val="Heading1Char"/>
    <w:uiPriority w:val="9"/>
    <w:qFormat/>
    <w:rsid w:val="00A8313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ference">
    <w:name w:val="Reference"/>
    <w:basedOn w:val="Normal"/>
    <w:qFormat/>
    <w:rsid w:val="001652A5"/>
    <w:pPr>
      <w:spacing w:after="0" w:line="276" w:lineRule="auto"/>
      <w:ind w:left="357" w:hanging="357"/>
    </w:pPr>
    <w:rPr>
      <w:rFonts w:ascii="Times New Roman" w:eastAsia="Times New Roman" w:hAnsi="Times New Roman" w:cs="Times New Roman"/>
      <w:sz w:val="24"/>
      <w:szCs w:val="24"/>
      <w:lang w:val="fr-FR" w:eastAsia="zh-CN"/>
    </w:rPr>
  </w:style>
  <w:style w:type="character" w:styleId="Hyperlink">
    <w:name w:val="Hyperlink"/>
    <w:basedOn w:val="DefaultParagraphFont"/>
    <w:uiPriority w:val="99"/>
    <w:unhideWhenUsed/>
    <w:rsid w:val="001652A5"/>
    <w:rPr>
      <w:color w:val="0000FF"/>
      <w:u w:val="single"/>
    </w:rPr>
  </w:style>
  <w:style w:type="character" w:styleId="Emphasis">
    <w:name w:val="Emphasis"/>
    <w:basedOn w:val="DefaultParagraphFont"/>
    <w:uiPriority w:val="20"/>
    <w:qFormat/>
    <w:rsid w:val="001652A5"/>
    <w:rPr>
      <w:i/>
      <w:iCs/>
    </w:rPr>
  </w:style>
  <w:style w:type="table" w:styleId="TableGrid">
    <w:name w:val="Table Grid"/>
    <w:basedOn w:val="TableNormal"/>
    <w:uiPriority w:val="39"/>
    <w:rsid w:val="001652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A83137"/>
    <w:rPr>
      <w:rFonts w:ascii="Times New Roman" w:eastAsia="Times New Roman" w:hAnsi="Times New Roman" w:cs="Times New Roman"/>
      <w:b/>
      <w:bCs/>
      <w:kern w:val="36"/>
      <w:sz w:val="48"/>
      <w:szCs w:val="48"/>
      <w:lang w:eastAsia="en-GB"/>
    </w:rPr>
  </w:style>
  <w:style w:type="character" w:styleId="FollowedHyperlink">
    <w:name w:val="FollowedHyperlink"/>
    <w:basedOn w:val="DefaultParagraphFont"/>
    <w:uiPriority w:val="99"/>
    <w:semiHidden/>
    <w:unhideWhenUsed/>
    <w:rsid w:val="00E15BF1"/>
    <w:rPr>
      <w:color w:val="954F72" w:themeColor="followedHyperlink"/>
      <w:u w:val="single"/>
    </w:rPr>
  </w:style>
  <w:style w:type="character" w:styleId="UnresolvedMention">
    <w:name w:val="Unresolved Mention"/>
    <w:basedOn w:val="DefaultParagraphFont"/>
    <w:uiPriority w:val="99"/>
    <w:semiHidden/>
    <w:unhideWhenUsed/>
    <w:rsid w:val="006A67DC"/>
    <w:rPr>
      <w:color w:val="605E5C"/>
      <w:shd w:val="clear" w:color="auto" w:fill="E1DFDD"/>
    </w:rPr>
  </w:style>
  <w:style w:type="paragraph" w:customStyle="1" w:styleId="intro">
    <w:name w:val="intro"/>
    <w:basedOn w:val="Normal"/>
    <w:rsid w:val="00C40F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semiHidden/>
    <w:unhideWhenUsed/>
    <w:rsid w:val="0091442B"/>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8079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9DF"/>
  </w:style>
  <w:style w:type="paragraph" w:styleId="Footer">
    <w:name w:val="footer"/>
    <w:basedOn w:val="Normal"/>
    <w:link w:val="FooterChar"/>
    <w:uiPriority w:val="99"/>
    <w:unhideWhenUsed/>
    <w:rsid w:val="008079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9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34355369">
      <w:bodyDiv w:val="1"/>
      <w:marLeft w:val="0"/>
      <w:marRight w:val="0"/>
      <w:marTop w:val="0"/>
      <w:marBottom w:val="0"/>
      <w:divBdr>
        <w:top w:val="none" w:sz="0" w:space="0" w:color="auto"/>
        <w:left w:val="none" w:sz="0" w:space="0" w:color="auto"/>
        <w:bottom w:val="none" w:sz="0" w:space="0" w:color="auto"/>
        <w:right w:val="none" w:sz="0" w:space="0" w:color="auto"/>
      </w:divBdr>
    </w:div>
    <w:div w:id="999623157">
      <w:bodyDiv w:val="1"/>
      <w:marLeft w:val="0"/>
      <w:marRight w:val="0"/>
      <w:marTop w:val="0"/>
      <w:marBottom w:val="0"/>
      <w:divBdr>
        <w:top w:val="none" w:sz="0" w:space="0" w:color="auto"/>
        <w:left w:val="none" w:sz="0" w:space="0" w:color="auto"/>
        <w:bottom w:val="none" w:sz="0" w:space="0" w:color="auto"/>
        <w:right w:val="none" w:sz="0" w:space="0" w:color="auto"/>
      </w:divBdr>
    </w:div>
    <w:div w:id="1086725792">
      <w:bodyDiv w:val="1"/>
      <w:marLeft w:val="0"/>
      <w:marRight w:val="0"/>
      <w:marTop w:val="0"/>
      <w:marBottom w:val="0"/>
      <w:divBdr>
        <w:top w:val="none" w:sz="0" w:space="0" w:color="auto"/>
        <w:left w:val="none" w:sz="0" w:space="0" w:color="auto"/>
        <w:bottom w:val="none" w:sz="0" w:space="0" w:color="auto"/>
        <w:right w:val="none" w:sz="0" w:space="0" w:color="auto"/>
      </w:divBdr>
      <w:divsChild>
        <w:div w:id="190386907">
          <w:marLeft w:val="0"/>
          <w:marRight w:val="0"/>
          <w:marTop w:val="0"/>
          <w:marBottom w:val="0"/>
          <w:divBdr>
            <w:top w:val="none" w:sz="0" w:space="0" w:color="auto"/>
            <w:left w:val="none" w:sz="0" w:space="0" w:color="auto"/>
            <w:bottom w:val="none" w:sz="0" w:space="0" w:color="auto"/>
            <w:right w:val="none" w:sz="0" w:space="0" w:color="auto"/>
          </w:divBdr>
        </w:div>
        <w:div w:id="1724524939">
          <w:marLeft w:val="0"/>
          <w:marRight w:val="0"/>
          <w:marTop w:val="0"/>
          <w:marBottom w:val="0"/>
          <w:divBdr>
            <w:top w:val="none" w:sz="0" w:space="0" w:color="auto"/>
            <w:left w:val="none" w:sz="0" w:space="0" w:color="auto"/>
            <w:bottom w:val="none" w:sz="0" w:space="0" w:color="auto"/>
            <w:right w:val="none" w:sz="0" w:space="0" w:color="auto"/>
          </w:divBdr>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
    <w:div w:id="1413893449">
      <w:bodyDiv w:val="1"/>
      <w:marLeft w:val="0"/>
      <w:marRight w:val="0"/>
      <w:marTop w:val="0"/>
      <w:marBottom w:val="0"/>
      <w:divBdr>
        <w:top w:val="none" w:sz="0" w:space="0" w:color="auto"/>
        <w:left w:val="none" w:sz="0" w:space="0" w:color="auto"/>
        <w:bottom w:val="none" w:sz="0" w:space="0" w:color="auto"/>
        <w:right w:val="none" w:sz="0" w:space="0" w:color="auto"/>
      </w:divBdr>
      <w:divsChild>
        <w:div w:id="1673414477">
          <w:marLeft w:val="0"/>
          <w:marRight w:val="0"/>
          <w:marTop w:val="0"/>
          <w:marBottom w:val="0"/>
          <w:divBdr>
            <w:top w:val="none" w:sz="0" w:space="0" w:color="auto"/>
            <w:left w:val="none" w:sz="0" w:space="0" w:color="auto"/>
            <w:bottom w:val="none" w:sz="0" w:space="0" w:color="auto"/>
            <w:right w:val="none" w:sz="0" w:space="0" w:color="auto"/>
          </w:divBdr>
        </w:div>
        <w:div w:id="1795443412">
          <w:marLeft w:val="0"/>
          <w:marRight w:val="0"/>
          <w:marTop w:val="0"/>
          <w:marBottom w:val="0"/>
          <w:divBdr>
            <w:top w:val="none" w:sz="0" w:space="0" w:color="auto"/>
            <w:left w:val="none" w:sz="0" w:space="0" w:color="auto"/>
            <w:bottom w:val="none" w:sz="0" w:space="0" w:color="auto"/>
            <w:right w:val="none" w:sz="0" w:space="0" w:color="auto"/>
          </w:divBdr>
        </w:div>
      </w:divsChild>
    </w:div>
    <w:div w:id="1936161421">
      <w:bodyDiv w:val="1"/>
      <w:marLeft w:val="0"/>
      <w:marRight w:val="0"/>
      <w:marTop w:val="0"/>
      <w:marBottom w:val="0"/>
      <w:divBdr>
        <w:top w:val="none" w:sz="0" w:space="0" w:color="auto"/>
        <w:left w:val="none" w:sz="0" w:space="0" w:color="auto"/>
        <w:bottom w:val="none" w:sz="0" w:space="0" w:color="auto"/>
        <w:right w:val="none" w:sz="0" w:space="0" w:color="auto"/>
      </w:divBdr>
    </w:div>
    <w:div w:id="1976058560">
      <w:bodyDiv w:val="1"/>
      <w:marLeft w:val="0"/>
      <w:marRight w:val="0"/>
      <w:marTop w:val="0"/>
      <w:marBottom w:val="0"/>
      <w:divBdr>
        <w:top w:val="none" w:sz="0" w:space="0" w:color="auto"/>
        <w:left w:val="none" w:sz="0" w:space="0" w:color="auto"/>
        <w:bottom w:val="none" w:sz="0" w:space="0" w:color="auto"/>
        <w:right w:val="none" w:sz="0" w:space="0" w:color="auto"/>
      </w:divBdr>
      <w:divsChild>
        <w:div w:id="1481848753">
          <w:marLeft w:val="0"/>
          <w:marRight w:val="0"/>
          <w:marTop w:val="15"/>
          <w:marBottom w:val="0"/>
          <w:divBdr>
            <w:top w:val="none" w:sz="0" w:space="0" w:color="auto"/>
            <w:left w:val="none" w:sz="0" w:space="0" w:color="auto"/>
            <w:bottom w:val="none" w:sz="0" w:space="0" w:color="auto"/>
            <w:right w:val="none" w:sz="0" w:space="0" w:color="auto"/>
          </w:divBdr>
          <w:divsChild>
            <w:div w:id="1558517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aeng.org.uk/publications/reports/global-engineering-capability-review" TargetMode="External"/><Relationship Id="rId18" Type="http://schemas.openxmlformats.org/officeDocument/2006/relationships/image" Target="media/image4.png"/><Relationship Id="rId26" Type="http://schemas.openxmlformats.org/officeDocument/2006/relationships/hyperlink" Target="https://www.iesf.fr/offres/doc_inline_src/752/ENQUETE_IESF_2017_Version_associations.pdf" TargetMode="External"/><Relationship Id="rId39" Type="http://schemas.openxmlformats.org/officeDocument/2006/relationships/hyperlink" Target="https://ec.europa.eu/eurostat/en/web/products-eurostat-news/-/EDN-20180307-1" TargetMode="External"/><Relationship Id="rId21" Type="http://schemas.openxmlformats.org/officeDocument/2006/relationships/hyperlink" Target="http://uis.unesco.org/sites/default/files/documents/fs55-women-in-science-2019-en.pdf" TargetMode="External"/><Relationship Id="rId34" Type="http://schemas.openxmlformats.org/officeDocument/2006/relationships/hyperlink" Target="https://op.europa.eu/en/publication-detail/-/publication/9540ffa1-4478-11e9-a8ed-01aa75ed71a1/language-en" TargetMode="External"/><Relationship Id="rId42" Type="http://schemas.openxmlformats.org/officeDocument/2006/relationships/hyperlink" Target="http://dx.doi.org/10.1787/eag-2017-en" TargetMode="Externa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image" Target="media/image19.png"/><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oecd-ilibrary.org/docserver/02bd2b68-en.pdf?expires=1586874412&amp;id=id&amp;accname=guest&amp;checksum=1E7612EC7C9663D6B63FA84297DBC546" TargetMode="External"/><Relationship Id="rId11" Type="http://schemas.openxmlformats.org/officeDocument/2006/relationships/hyperlink" Target="https://ncses.nsf.gov/indicators" TargetMode="External"/><Relationship Id="rId24" Type="http://schemas.openxmlformats.org/officeDocument/2006/relationships/image" Target="media/image6.png"/><Relationship Id="rId32" Type="http://schemas.openxmlformats.org/officeDocument/2006/relationships/hyperlink" Target="https://doi.org/10.1787/eag-2018-18-en" TargetMode="External"/><Relationship Id="rId37" Type="http://schemas.openxmlformats.org/officeDocument/2006/relationships/hyperlink" Target="https://www.ilo.org/asia/publications/WCMS_645601/lang--en/index.htm" TargetMode="External"/><Relationship Id="rId40" Type="http://schemas.openxmlformats.org/officeDocument/2006/relationships/hyperlink" Target="https://appsso.eurostat.ec.europa.eu/nui/submitViewTableAction.do" TargetMode="External"/><Relationship Id="rId45" Type="http://schemas.openxmlformats.org/officeDocument/2006/relationships/image" Target="media/image13.png"/><Relationship Id="rId53" Type="http://schemas.openxmlformats.org/officeDocument/2006/relationships/image" Target="media/image18.png"/><Relationship Id="rId58" Type="http://schemas.openxmlformats.org/officeDocument/2006/relationships/image" Target="media/image21.png"/><Relationship Id="rId5" Type="http://schemas.openxmlformats.org/officeDocument/2006/relationships/styles" Target="styles.xml"/><Relationship Id="rId61" Type="http://schemas.openxmlformats.org/officeDocument/2006/relationships/theme" Target="theme/theme1.xml"/><Relationship Id="rId19" Type="http://schemas.openxmlformats.org/officeDocument/2006/relationships/hyperlink" Target="https://onlinelibrary.wiley.com/doi/full/10.1002/inst.12252" TargetMode="External"/><Relationship Id="rId14" Type="http://schemas.openxmlformats.org/officeDocument/2006/relationships/image" Target="media/image2.png"/><Relationship Id="rId22" Type="http://schemas.openxmlformats.org/officeDocument/2006/relationships/hyperlink" Target="http://uis.unesco.org/en" TargetMode="External"/><Relationship Id="rId27" Type="http://schemas.openxmlformats.org/officeDocument/2006/relationships/image" Target="media/image7.png"/><Relationship Id="rId30" Type="http://schemas.openxmlformats.org/officeDocument/2006/relationships/hyperlink" Target="ttps://doi.org/10.1787/02bd2b68-en" TargetMode="External"/><Relationship Id="rId35" Type="http://schemas.openxmlformats.org/officeDocument/2006/relationships/hyperlink" Target="file:///C:\Users\dawnb\Downloads\KI0418554ENN.en.pdf" TargetMode="External"/><Relationship Id="rId43" Type="http://schemas.openxmlformats.org/officeDocument/2006/relationships/image" Target="media/image12.png"/><Relationship Id="rId48" Type="http://schemas.openxmlformats.org/officeDocument/2006/relationships/hyperlink" Target="https://www.raeng.org.uk/publications/reports/engineering-and-economic-growth-a-global-view" TargetMode="External"/><Relationship Id="rId56" Type="http://schemas.openxmlformats.org/officeDocument/2006/relationships/image" Target="media/image20.png"/><Relationship Id="rId8" Type="http://schemas.openxmlformats.org/officeDocument/2006/relationships/footnotes" Target="footnote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s://www.weforum.org/reports/gender-gap-2020-report-100-years-pay-equality" TargetMode="External"/><Relationship Id="rId25" Type="http://schemas.openxmlformats.org/officeDocument/2006/relationships/hyperlink" Target="https://www.iesf.fr/offres/doc_inline_src/752/IESF-ENQUETE2019-Resume.pdf"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https://afbe.org.uk/docs/African%20catalyst%20Project%20%20-%20final%20%20%20submission%20(1).pdf" TargetMode="External"/><Relationship Id="rId59" Type="http://schemas.openxmlformats.org/officeDocument/2006/relationships/footer" Target="footer1.xml"/><Relationship Id="rId20" Type="http://schemas.openxmlformats.org/officeDocument/2006/relationships/image" Target="media/image5.png"/><Relationship Id="rId41" Type="http://schemas.openxmlformats.org/officeDocument/2006/relationships/image" Target="media/image11.png"/><Relationship Id="rId54" Type="http://schemas.openxmlformats.org/officeDocument/2006/relationships/hyperlink" Target="https://unesdoc.unesco.org/ark:/48223/pf0000235407"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research.swe.org/wp-content/uploads/sites/2/2020/03/FINAL_SWESOW2020-links-1.pdf" TargetMode="External"/><Relationship Id="rId23" Type="http://schemas.openxmlformats.org/officeDocument/2006/relationships/hyperlink" Target="http://uis.unesco.org/en/blog/where-are-all-women-science-and-research" TargetMode="External"/><Relationship Id="rId28" Type="http://schemas.openxmlformats.org/officeDocument/2006/relationships/hyperlink" Target="https://www.oecd.org/gender/data/why-dont-more-girls-choose-stem-careers.htm" TargetMode="External"/><Relationship Id="rId36" Type="http://schemas.openxmlformats.org/officeDocument/2006/relationships/image" Target="media/image9.png"/><Relationship Id="rId49" Type="http://schemas.openxmlformats.org/officeDocument/2006/relationships/image" Target="media/image15.png"/><Relationship Id="rId57" Type="http://schemas.openxmlformats.org/officeDocument/2006/relationships/hyperlink" Target="https://www.researchgate.net/publication/234647120_Why_So_Few_Women_in_Science_Technology_Engineering_and_Mathematics" TargetMode="External"/><Relationship Id="rId10" Type="http://schemas.openxmlformats.org/officeDocument/2006/relationships/hyperlink" Target="https://ncses.nsf.gov/indicators/reports" TargetMode="External"/><Relationship Id="rId31" Type="http://schemas.openxmlformats.org/officeDocument/2006/relationships/hyperlink" Target="https://doi.org/10.1177/0956797617741719" TargetMode="External"/><Relationship Id="rId44" Type="http://schemas.openxmlformats.org/officeDocument/2006/relationships/hyperlink" Target="https://unesdoc.unesco.org/ark:/48223/pf0000253479" TargetMode="External"/><Relationship Id="rId52" Type="http://schemas.openxmlformats.org/officeDocument/2006/relationships/hyperlink" Target="http://uis.unesco.org/sites/default/files/documents/saga-sti-objectives-list-wp1-2016-en.pdf" TargetMode="External"/><Relationship Id="rId6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FB7B3EEEC3A043AA0E4989D5F15BB0" ma:contentTypeVersion="13" ma:contentTypeDescription="Create a new document." ma:contentTypeScope="" ma:versionID="a1c3d37448ec7a7344f1219ac7430bc7">
  <xsd:schema xmlns:xsd="http://www.w3.org/2001/XMLSchema" xmlns:xs="http://www.w3.org/2001/XMLSchema" xmlns:p="http://schemas.microsoft.com/office/2006/metadata/properties" xmlns:ns3="a2d6e878-70d4-4a55-b9cc-d10454cdd8d9" xmlns:ns4="fd00e422-94ec-4349-b9a9-dbbfd2f9be0e" targetNamespace="http://schemas.microsoft.com/office/2006/metadata/properties" ma:root="true" ma:fieldsID="6bb95b780bbe043269fd662645becd8b" ns3:_="" ns4:_="">
    <xsd:import namespace="a2d6e878-70d4-4a55-b9cc-d10454cdd8d9"/>
    <xsd:import namespace="fd00e422-94ec-4349-b9a9-dbbfd2f9be0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d6e878-70d4-4a55-b9cc-d10454cdd8d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00e422-94ec-4349-b9a9-dbbfd2f9be0e"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8F297F0-B0B7-4329-918C-4D6FCCF75B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d6e878-70d4-4a55-b9cc-d10454cdd8d9"/>
    <ds:schemaRef ds:uri="fd00e422-94ec-4349-b9a9-dbbfd2f9be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F13C5F1-0CE7-41E5-A8F2-5173AD894131}">
  <ds:schemaRefs>
    <ds:schemaRef ds:uri="http://schemas.microsoft.com/sharepoint/v3/contenttype/forms"/>
  </ds:schemaRefs>
</ds:datastoreItem>
</file>

<file path=customXml/itemProps3.xml><?xml version="1.0" encoding="utf-8"?>
<ds:datastoreItem xmlns:ds="http://schemas.openxmlformats.org/officeDocument/2006/customXml" ds:itemID="{D42A3349-C46A-4AB7-B93D-4FB2F7CD74AA}">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1271</TotalTime>
  <Pages>6</Pages>
  <Words>2142</Words>
  <Characters>12216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 Bonfield</dc:creator>
  <cp:keywords/>
  <dc:description/>
  <cp:lastModifiedBy>Dawn Bonfield</cp:lastModifiedBy>
  <cp:revision>61</cp:revision>
  <dcterms:created xsi:type="dcterms:W3CDTF">2020-04-14T11:34:00Z</dcterms:created>
  <dcterms:modified xsi:type="dcterms:W3CDTF">2020-04-15T10:55:00Z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0x010100F7FB7B3EEEC3A043AA0E4989D5F15BB0</vt:lpwstr>
  </property>
</Properties>
</file>